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880" w:firstLineChars="200"/>
        <w:jc w:val="center"/>
        <w:rPr>
          <w:rFonts w:ascii="文星简小标宋" w:hAnsi="文星简小标宋" w:eastAsia="文星简小标宋" w:cstheme="majorEastAsia"/>
          <w:bCs/>
          <w:sz w:val="44"/>
          <w:szCs w:val="44"/>
        </w:rPr>
      </w:pPr>
      <w:bookmarkStart w:id="3" w:name="_GoBack"/>
      <w:r>
        <w:rPr>
          <w:rFonts w:hint="eastAsia" w:ascii="文星简小标宋" w:hAnsi="文星简小标宋" w:eastAsia="文星简小标宋" w:cstheme="majorEastAsia"/>
          <w:bCs/>
          <w:sz w:val="44"/>
          <w:szCs w:val="44"/>
        </w:rPr>
        <w:t>廊坊市建设局201</w:t>
      </w:r>
      <w:r>
        <w:rPr>
          <w:rFonts w:ascii="文星简小标宋" w:hAnsi="文星简小标宋" w:eastAsia="文星简小标宋" w:cstheme="majorEastAsia"/>
          <w:bCs/>
          <w:sz w:val="44"/>
          <w:szCs w:val="44"/>
        </w:rPr>
        <w:t>8</w:t>
      </w:r>
      <w:r>
        <w:rPr>
          <w:rFonts w:hint="eastAsia" w:ascii="文星简小标宋" w:hAnsi="文星简小标宋" w:eastAsia="文星简小标宋" w:cstheme="majorEastAsia"/>
          <w:bCs/>
          <w:sz w:val="44"/>
          <w:szCs w:val="44"/>
        </w:rPr>
        <w:t>年部门预算信息公开</w:t>
      </w:r>
    </w:p>
    <w:bookmarkEnd w:id="3"/>
    <w:p>
      <w:pPr>
        <w:spacing w:line="560" w:lineRule="exact"/>
        <w:ind w:firstLine="883" w:firstLineChars="200"/>
        <w:jc w:val="center"/>
        <w:rPr>
          <w:rFonts w:asciiTheme="majorEastAsia" w:hAnsiTheme="majorEastAsia" w:eastAsiaTheme="majorEastAsia" w:cstheme="majorEastAsia"/>
          <w:b/>
          <w:bCs/>
          <w:sz w:val="44"/>
          <w:szCs w:val="44"/>
        </w:rPr>
      </w:pP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按照《预算法》、《地方预决算公开操作规程》和《河北省省级预算公开办法》规定，现将廊坊市建设局201</w:t>
      </w:r>
      <w:r>
        <w:rPr>
          <w:rFonts w:ascii="仿宋_GB2312" w:hAnsi="黑体" w:eastAsia="仿宋_GB2312" w:cs="Times New Roman"/>
          <w:sz w:val="32"/>
          <w:szCs w:val="32"/>
        </w:rPr>
        <w:t>8</w:t>
      </w:r>
      <w:r>
        <w:rPr>
          <w:rFonts w:hint="eastAsia" w:ascii="仿宋_GB2312" w:hAnsi="黑体" w:eastAsia="仿宋_GB2312" w:cs="Times New Roman"/>
          <w:sz w:val="32"/>
          <w:szCs w:val="32"/>
        </w:rPr>
        <w:t>年部门预算公开如下:</w:t>
      </w:r>
    </w:p>
    <w:p>
      <w:pPr>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一、部门职责及机构设置情况</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部门职责：</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一）根据国家、省的经济方针和产业政策，研究拟定全市工程建设、城市建设、村镇建设、建筑业、市政公用事业、勘察业、建设机械制造业以及园林绿化、环境卫生行业的有关政策及发展规划，并组织指导实施的进行行业管理。</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（二）参与城市总体规划、城镇体系规划的制定和市管建设项目的选址定点工作； 参与城镇土地使用权有偿出让工作；负责城市勘察和市政工程测量工作； 负责城建档案的管理工作。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（三）负责工程建设管理工作，监督工程建设程序的执行；管理监督工程建设勘察设计、审查、施工的招标投标工作，综合管理工程监理工作， 指导、规范和综合管理全市建筑市场；负责建设单位建设管理机构的业务、技术管理和工程勘察设计、工程质量、施工安全、建筑安装、建筑装饰的行业管理；与有关部门协商拟定建设工期定额、工程造价、投资结算指标；组织协调建设企业参与域外或国际工程承包、建筑劳务合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四）负责编制城市供水、供热、节水、燃气、市政设施、园林绿化、环境卫生中长期发展规划并进行行业管理；负责全市供热规划编制工作；负责对市区公共景点的设计和保护监督管理工作；负责市区夜景亮化的规划、设计和管理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（五）指导全市城镇和村庄的建设工作，推动城镇建设的改革与发展。</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（六）负责全市施工安装、建筑装饰、勘察设计、城市综合开发、建筑机械和城建设备生产企业的审批或报批工作；负责全市建筑机械、设计、市政公用和城建设备生产行业的资质管理工作。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（七）综合管理各类房屋建筑及其附属设施和城市市政设施建设工程的抗震设计审查工作；参与指导城市地下空间开发和利用工作。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（八）拟定行业科技发展规划、设计和技术经济政策，组织科技论证、开发和成果的推广应用；负责管理全市建筑节能、技术引进和创新工作；管理全市建设技术市场。</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 xml:space="preserve">（九）负责市区基础设施建设资金筹集、使用和管理工作；管理建设行业对外技术合作和引进、利用外资工作。 </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（十）负责市区的拆迁安置工作。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（十一）代表市政府，协调处理与油田、铁路的关系，负责支援油田、支援铁路建设工作。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（十二）制定行业人才培养规划，指导行业职工队伍岗位培训和继续教育工作。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（十三）管理局机关和直属企事业单位的人事、劳资和机构编制工作；负责组织行业专业技术职称评定工作；指导建设系统安全保卫、工会、共青团及行业劳动工资、劳动保险、劳动标准工作。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（十四）指导各县（市、区）城市建设管理工作。</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（十五）承办市政府交办的其它事项</w:t>
      </w:r>
    </w:p>
    <w:p>
      <w:pPr>
        <w:autoSpaceDE w:val="0"/>
        <w:autoSpaceDN w:val="0"/>
        <w:adjustRightInd w:val="0"/>
        <w:spacing w:line="560" w:lineRule="exact"/>
        <w:ind w:firstLine="643" w:firstLineChars="200"/>
        <w:jc w:val="left"/>
        <w:rPr>
          <w:rFonts w:ascii="方正仿宋_GBK" w:hAnsi="Times New Roman" w:eastAsia="方正仿宋_GBK" w:cs="Times New Roman"/>
          <w:b/>
          <w:sz w:val="32"/>
          <w:szCs w:val="32"/>
        </w:rPr>
      </w:pPr>
      <w:r>
        <w:rPr>
          <w:rFonts w:hint="eastAsia" w:ascii="楷体" w:hAnsi="楷体" w:eastAsia="楷体" w:cs="楷体"/>
          <w:b/>
          <w:sz w:val="32"/>
          <w:szCs w:val="32"/>
        </w:rPr>
        <w:t>机构设置：</w:t>
      </w:r>
    </w:p>
    <w:p>
      <w:pPr>
        <w:spacing w:line="560" w:lineRule="exact"/>
        <w:jc w:val="center"/>
        <w:outlineLvl w:val="0"/>
        <w:rPr>
          <w:rFonts w:ascii="Times New Roman" w:hAnsi="Times New Roman" w:eastAsia="方正小标宋_GBK" w:cs="Times New Roman"/>
          <w:sz w:val="32"/>
          <w:szCs w:val="24"/>
        </w:rPr>
      </w:pPr>
      <w:r>
        <w:rPr>
          <w:rFonts w:ascii="Times New Roman" w:hAnsi="Times New Roman" w:eastAsia="方正小标宋_GBK" w:cs="Times New Roman"/>
          <w:sz w:val="32"/>
          <w:szCs w:val="24"/>
        </w:rPr>
        <w:t>部门</w:t>
      </w:r>
      <w:r>
        <w:rPr>
          <w:rFonts w:hint="eastAsia" w:ascii="Times New Roman" w:hAnsi="Times New Roman" w:eastAsia="方正小标宋_GBK" w:cs="Times New Roman"/>
          <w:sz w:val="32"/>
          <w:szCs w:val="24"/>
        </w:rPr>
        <w:t>机构设置情况</w:t>
      </w:r>
    </w:p>
    <w:tbl>
      <w:tblPr>
        <w:tblStyle w:val="7"/>
        <w:tblW w:w="1008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32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0" w:hRule="atLeast"/>
          <w:tblHeader/>
          <w:jc w:val="center"/>
        </w:trPr>
        <w:tc>
          <w:tcPr>
            <w:tcW w:w="4443" w:type="dxa"/>
            <w:vMerge w:val="restart"/>
            <w:shd w:val="clear" w:color="auto" w:fill="auto"/>
            <w:vAlign w:val="center"/>
          </w:tcPr>
          <w:p>
            <w:pPr>
              <w:spacing w:line="56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单位名称</w:t>
            </w:r>
          </w:p>
        </w:tc>
        <w:tc>
          <w:tcPr>
            <w:tcW w:w="1134" w:type="dxa"/>
            <w:vMerge w:val="restart"/>
            <w:shd w:val="clear" w:color="auto" w:fill="auto"/>
            <w:vAlign w:val="center"/>
          </w:tcPr>
          <w:p>
            <w:pPr>
              <w:spacing w:line="56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单位性质</w:t>
            </w:r>
          </w:p>
        </w:tc>
        <w:tc>
          <w:tcPr>
            <w:tcW w:w="1276" w:type="dxa"/>
            <w:vMerge w:val="restart"/>
            <w:shd w:val="clear" w:color="auto" w:fill="auto"/>
            <w:vAlign w:val="center"/>
          </w:tcPr>
          <w:p>
            <w:pPr>
              <w:spacing w:line="56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单位规格</w:t>
            </w:r>
          </w:p>
        </w:tc>
        <w:tc>
          <w:tcPr>
            <w:tcW w:w="3230" w:type="dxa"/>
            <w:vMerge w:val="restart"/>
            <w:shd w:val="clear" w:color="auto" w:fill="auto"/>
            <w:vAlign w:val="center"/>
          </w:tcPr>
          <w:p>
            <w:pPr>
              <w:spacing w:line="560" w:lineRule="exact"/>
              <w:jc w:val="center"/>
              <w:rPr>
                <w:rFonts w:ascii="Times New Roman" w:hAnsi="Times New Roman" w:eastAsia="方正书宋_GBK" w:cs="Times New Roman"/>
                <w:b/>
                <w:szCs w:val="24"/>
              </w:rPr>
            </w:pPr>
            <w:r>
              <w:rPr>
                <w:rFonts w:ascii="Times New Roman" w:hAnsi="Times New Roman" w:eastAsia="方正书宋_GBK" w:cs="Times New Roman"/>
                <w:b/>
                <w:szCs w:val="24"/>
              </w:rPr>
              <w:t>经费保障形式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60" w:hRule="atLeast"/>
          <w:tblHeader/>
          <w:jc w:val="center"/>
        </w:trPr>
        <w:tc>
          <w:tcPr>
            <w:tcW w:w="4443" w:type="dxa"/>
            <w:vMerge w:val="continue"/>
            <w:shd w:val="clear" w:color="auto" w:fill="auto"/>
            <w:vAlign w:val="center"/>
          </w:tcPr>
          <w:p>
            <w:pPr>
              <w:spacing w:line="560" w:lineRule="exact"/>
              <w:jc w:val="left"/>
              <w:outlineLvl w:val="0"/>
              <w:rPr>
                <w:rFonts w:ascii="Times New Roman" w:hAnsi="Times New Roman" w:eastAsia="宋体" w:cs="Times New Roman"/>
                <w:szCs w:val="24"/>
              </w:rPr>
            </w:pPr>
          </w:p>
        </w:tc>
        <w:tc>
          <w:tcPr>
            <w:tcW w:w="1134" w:type="dxa"/>
            <w:vMerge w:val="continue"/>
            <w:shd w:val="clear" w:color="auto" w:fill="auto"/>
            <w:vAlign w:val="center"/>
          </w:tcPr>
          <w:p>
            <w:pPr>
              <w:spacing w:line="560" w:lineRule="exact"/>
              <w:jc w:val="left"/>
              <w:outlineLvl w:val="0"/>
              <w:rPr>
                <w:rFonts w:ascii="Times New Roman" w:hAnsi="Times New Roman" w:eastAsia="宋体" w:cs="Times New Roman"/>
                <w:szCs w:val="24"/>
              </w:rPr>
            </w:pPr>
          </w:p>
        </w:tc>
        <w:tc>
          <w:tcPr>
            <w:tcW w:w="1276" w:type="dxa"/>
            <w:vMerge w:val="continue"/>
            <w:shd w:val="clear" w:color="auto" w:fill="auto"/>
            <w:vAlign w:val="center"/>
          </w:tcPr>
          <w:p>
            <w:pPr>
              <w:spacing w:line="560" w:lineRule="exact"/>
              <w:jc w:val="left"/>
              <w:outlineLvl w:val="0"/>
              <w:rPr>
                <w:rFonts w:ascii="Times New Roman" w:hAnsi="Times New Roman" w:eastAsia="宋体" w:cs="Times New Roman"/>
                <w:szCs w:val="24"/>
              </w:rPr>
            </w:pPr>
          </w:p>
        </w:tc>
        <w:tc>
          <w:tcPr>
            <w:tcW w:w="3230" w:type="dxa"/>
            <w:vMerge w:val="continue"/>
            <w:shd w:val="clear" w:color="auto" w:fill="auto"/>
            <w:vAlign w:val="center"/>
          </w:tcPr>
          <w:p>
            <w:pPr>
              <w:spacing w:line="560" w:lineRule="exact"/>
              <w:jc w:val="left"/>
              <w:outlineLvl w:val="0"/>
              <w:rPr>
                <w:rFonts w:ascii="Times New Roman" w:hAnsi="Times New Roman" w:eastAsia="宋体" w:cs="Times New Roman"/>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方正书宋_GBK" w:cs="Times New Roman"/>
                <w:szCs w:val="24"/>
              </w:rPr>
            </w:pPr>
            <w:r>
              <w:rPr>
                <w:rFonts w:hint="eastAsia" w:ascii="方正书宋_GBK" w:eastAsia="方正书宋_GBK"/>
              </w:rPr>
              <w:t>廊坊市建设局</w:t>
            </w:r>
          </w:p>
        </w:tc>
        <w:tc>
          <w:tcPr>
            <w:tcW w:w="1134"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行政</w:t>
            </w:r>
          </w:p>
        </w:tc>
        <w:tc>
          <w:tcPr>
            <w:tcW w:w="1276"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正处级</w:t>
            </w:r>
          </w:p>
        </w:tc>
        <w:tc>
          <w:tcPr>
            <w:tcW w:w="3230"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 xml:space="preserve">财政拨款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方正书宋_GBK" w:cs="Times New Roman"/>
                <w:szCs w:val="24"/>
              </w:rPr>
            </w:pPr>
            <w:r>
              <w:rPr>
                <w:rFonts w:hint="eastAsia" w:ascii="方正书宋_GBK" w:eastAsia="方正书宋_GBK"/>
              </w:rPr>
              <w:t>廊坊市城市建设资金管理办公室</w:t>
            </w:r>
          </w:p>
        </w:tc>
        <w:tc>
          <w:tcPr>
            <w:tcW w:w="1134"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事业</w:t>
            </w:r>
          </w:p>
        </w:tc>
        <w:tc>
          <w:tcPr>
            <w:tcW w:w="1276"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正科级</w:t>
            </w:r>
          </w:p>
        </w:tc>
        <w:tc>
          <w:tcPr>
            <w:tcW w:w="3230"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方正书宋_GBK" w:cs="Times New Roman"/>
                <w:szCs w:val="24"/>
              </w:rPr>
            </w:pPr>
            <w:r>
              <w:rPr>
                <w:rFonts w:hint="eastAsia" w:ascii="方正书宋_GBK" w:eastAsia="方正书宋_GBK"/>
              </w:rPr>
              <w:t>廊坊市园林绿化管理局</w:t>
            </w:r>
          </w:p>
        </w:tc>
        <w:tc>
          <w:tcPr>
            <w:tcW w:w="1134"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事业</w:t>
            </w:r>
          </w:p>
        </w:tc>
        <w:tc>
          <w:tcPr>
            <w:tcW w:w="1276"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副处级</w:t>
            </w:r>
          </w:p>
        </w:tc>
        <w:tc>
          <w:tcPr>
            <w:tcW w:w="3230"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方正书宋_GBK" w:cs="Times New Roman"/>
                <w:szCs w:val="24"/>
              </w:rPr>
            </w:pPr>
            <w:r>
              <w:rPr>
                <w:rFonts w:hint="eastAsia" w:ascii="方正书宋_GBK" w:eastAsia="方正书宋_GBK"/>
              </w:rPr>
              <w:t>廊坊市环境卫生管理局</w:t>
            </w:r>
          </w:p>
        </w:tc>
        <w:tc>
          <w:tcPr>
            <w:tcW w:w="1134"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事业</w:t>
            </w:r>
          </w:p>
        </w:tc>
        <w:tc>
          <w:tcPr>
            <w:tcW w:w="1276"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副处级</w:t>
            </w:r>
          </w:p>
        </w:tc>
        <w:tc>
          <w:tcPr>
            <w:tcW w:w="3230"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方正书宋_GBK" w:cs="Times New Roman"/>
                <w:szCs w:val="24"/>
              </w:rPr>
            </w:pPr>
            <w:r>
              <w:rPr>
                <w:rFonts w:hint="eastAsia" w:ascii="方正书宋_GBK" w:eastAsia="方正书宋_GBK"/>
              </w:rPr>
              <w:t>廊坊市市政设施管理处</w:t>
            </w:r>
          </w:p>
        </w:tc>
        <w:tc>
          <w:tcPr>
            <w:tcW w:w="1134"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事业</w:t>
            </w:r>
          </w:p>
        </w:tc>
        <w:tc>
          <w:tcPr>
            <w:tcW w:w="1276"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正科级</w:t>
            </w:r>
          </w:p>
        </w:tc>
        <w:tc>
          <w:tcPr>
            <w:tcW w:w="3230"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财政性资金基本保证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4443" w:type="dxa"/>
            <w:shd w:val="clear" w:color="auto" w:fill="auto"/>
            <w:vAlign w:val="center"/>
          </w:tcPr>
          <w:p>
            <w:pPr>
              <w:spacing w:line="560" w:lineRule="exact"/>
              <w:jc w:val="left"/>
              <w:rPr>
                <w:rFonts w:ascii="Times New Roman" w:hAnsi="Times New Roman" w:eastAsia="方正书宋_GBK" w:cs="Times New Roman"/>
                <w:szCs w:val="24"/>
              </w:rPr>
            </w:pPr>
            <w:r>
              <w:rPr>
                <w:rFonts w:hint="eastAsia" w:ascii="方正书宋_GBK" w:eastAsia="方正书宋_GBK"/>
              </w:rPr>
              <w:t>廊坊市时代广场管理处</w:t>
            </w:r>
          </w:p>
        </w:tc>
        <w:tc>
          <w:tcPr>
            <w:tcW w:w="1134"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事业</w:t>
            </w:r>
          </w:p>
        </w:tc>
        <w:tc>
          <w:tcPr>
            <w:tcW w:w="1276"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正科级</w:t>
            </w:r>
          </w:p>
        </w:tc>
        <w:tc>
          <w:tcPr>
            <w:tcW w:w="3230" w:type="dxa"/>
            <w:shd w:val="clear" w:color="auto" w:fill="auto"/>
            <w:vAlign w:val="center"/>
          </w:tcPr>
          <w:p>
            <w:pPr>
              <w:spacing w:line="560" w:lineRule="exact"/>
              <w:jc w:val="center"/>
              <w:rPr>
                <w:rFonts w:ascii="Times New Roman" w:hAnsi="Times New Roman" w:eastAsia="方正书宋_GBK" w:cs="Times New Roman"/>
                <w:szCs w:val="24"/>
              </w:rPr>
            </w:pPr>
            <w:r>
              <w:rPr>
                <w:rFonts w:hint="eastAsia" w:ascii="方正书宋_GBK" w:eastAsia="方正书宋_GBK"/>
              </w:rPr>
              <w:t>财政性资金基本保证</w:t>
            </w:r>
          </w:p>
        </w:tc>
      </w:tr>
    </w:tbl>
    <w:p>
      <w:pPr>
        <w:spacing w:line="560" w:lineRule="exact"/>
      </w:pPr>
    </w:p>
    <w:p>
      <w:pPr>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二、部门预算安排的总体情况</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按照预算管理有关规定，目前我市部门预算的编制实行综合预算制度，即全部收入和支出都反映在预算中。廊坊市建设局机关及所属事业单位的收支包含在部门预算中。</w:t>
      </w:r>
    </w:p>
    <w:p>
      <w:pPr>
        <w:spacing w:line="560" w:lineRule="exact"/>
        <w:ind w:firstLine="640"/>
        <w:rPr>
          <w:rFonts w:ascii="楷体" w:hAnsi="楷体" w:eastAsia="楷体" w:cs="楷体"/>
          <w:b/>
          <w:sz w:val="32"/>
          <w:szCs w:val="32"/>
        </w:rPr>
      </w:pPr>
      <w:r>
        <w:rPr>
          <w:rFonts w:hint="eastAsia" w:ascii="楷体" w:hAnsi="楷体" w:eastAsia="楷体" w:cs="楷体"/>
          <w:b/>
          <w:sz w:val="32"/>
          <w:szCs w:val="32"/>
        </w:rPr>
        <w:t>1、收入说明</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反映本部门当年全部收入。2018年预算收入</w:t>
      </w:r>
      <w:r>
        <w:rPr>
          <w:rFonts w:ascii="仿宋_GB2312" w:hAnsi="黑体" w:eastAsia="仿宋_GB2312" w:cs="Times New Roman"/>
          <w:sz w:val="32"/>
          <w:szCs w:val="32"/>
        </w:rPr>
        <w:t>195685.16</w:t>
      </w:r>
      <w:r>
        <w:rPr>
          <w:rFonts w:hint="eastAsia" w:ascii="仿宋_GB2312" w:hAnsi="黑体" w:eastAsia="仿宋_GB2312" w:cs="Times New Roman"/>
          <w:sz w:val="32"/>
          <w:szCs w:val="32"/>
        </w:rPr>
        <w:t>万元，其中：一般公共预算收入</w:t>
      </w:r>
      <w:r>
        <w:rPr>
          <w:rFonts w:ascii="仿宋_GB2312" w:hAnsi="黑体" w:eastAsia="仿宋_GB2312" w:cs="Times New Roman"/>
          <w:sz w:val="32"/>
          <w:szCs w:val="32"/>
        </w:rPr>
        <w:t>33267.16</w:t>
      </w:r>
      <w:r>
        <w:rPr>
          <w:rFonts w:hint="eastAsia" w:ascii="仿宋_GB2312" w:hAnsi="黑体" w:eastAsia="仿宋_GB2312" w:cs="Times New Roman"/>
          <w:sz w:val="32"/>
          <w:szCs w:val="32"/>
        </w:rPr>
        <w:t>万元，基金预算收入</w:t>
      </w:r>
      <w:r>
        <w:rPr>
          <w:rFonts w:ascii="仿宋_GB2312" w:hAnsi="黑体" w:eastAsia="仿宋_GB2312" w:cs="Times New Roman"/>
          <w:sz w:val="32"/>
          <w:szCs w:val="32"/>
        </w:rPr>
        <w:t>162418.00</w:t>
      </w:r>
      <w:r>
        <w:rPr>
          <w:rFonts w:hint="eastAsia" w:ascii="仿宋_GB2312" w:hAnsi="黑体" w:eastAsia="仿宋_GB2312" w:cs="Times New Roman"/>
          <w:sz w:val="32"/>
          <w:szCs w:val="32"/>
        </w:rPr>
        <w:t>万元，国有资本经营性收入0万元，事业收入0万元，其他收入0万元。</w:t>
      </w:r>
    </w:p>
    <w:p>
      <w:pPr>
        <w:autoSpaceDE w:val="0"/>
        <w:autoSpaceDN w:val="0"/>
        <w:adjustRightInd w:val="0"/>
        <w:spacing w:line="560" w:lineRule="exact"/>
        <w:ind w:firstLine="643" w:firstLineChars="200"/>
        <w:jc w:val="left"/>
        <w:rPr>
          <w:rFonts w:ascii="楷体" w:hAnsi="楷体" w:eastAsia="楷体" w:cs="楷体"/>
          <w:b/>
          <w:sz w:val="32"/>
          <w:szCs w:val="32"/>
        </w:rPr>
      </w:pPr>
      <w:r>
        <w:rPr>
          <w:rFonts w:hint="eastAsia" w:ascii="楷体" w:hAnsi="楷体" w:eastAsia="楷体" w:cs="楷体"/>
          <w:b/>
          <w:sz w:val="32"/>
          <w:szCs w:val="32"/>
        </w:rPr>
        <w:t>2、支出说明</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收支预算总表支出栏、基本支出表、项目支出表按经济分类和支出功能分类科目编制，反映河北省廊坊市建设局年度部门预算中支出预算的总体情况。2018年支出预算</w:t>
      </w:r>
      <w:r>
        <w:rPr>
          <w:rFonts w:ascii="仿宋_GB2312" w:hAnsi="黑体" w:eastAsia="仿宋_GB2312" w:cs="Times New Roman"/>
          <w:sz w:val="32"/>
          <w:szCs w:val="32"/>
        </w:rPr>
        <w:t>195685.16</w:t>
      </w:r>
      <w:r>
        <w:rPr>
          <w:rFonts w:hint="eastAsia" w:ascii="仿宋_GB2312" w:hAnsi="黑体" w:eastAsia="仿宋_GB2312" w:cs="Times New Roman"/>
          <w:sz w:val="32"/>
          <w:szCs w:val="32"/>
        </w:rPr>
        <w:t>万元，其中基本支出</w:t>
      </w:r>
      <w:r>
        <w:rPr>
          <w:rFonts w:ascii="仿宋_GB2312" w:hAnsi="黑体" w:eastAsia="仿宋_GB2312" w:cs="Times New Roman"/>
          <w:sz w:val="32"/>
          <w:szCs w:val="32"/>
        </w:rPr>
        <w:t>14296.26</w:t>
      </w:r>
      <w:r>
        <w:rPr>
          <w:rFonts w:hint="eastAsia" w:ascii="仿宋_GB2312" w:hAnsi="黑体" w:eastAsia="仿宋_GB2312" w:cs="Times New Roman"/>
          <w:sz w:val="32"/>
          <w:szCs w:val="32"/>
        </w:rPr>
        <w:t>万元，包括人员经费</w:t>
      </w:r>
      <w:r>
        <w:rPr>
          <w:rFonts w:hint="eastAsia" w:ascii="仿宋_GB2312" w:hAnsi="黑体" w:eastAsia="仿宋_GB2312" w:cs="Times New Roman"/>
          <w:sz w:val="32"/>
          <w:szCs w:val="32"/>
          <w:lang w:val="en-US" w:eastAsia="zh-CN"/>
        </w:rPr>
        <w:t>13220.46万元</w:t>
      </w:r>
      <w:r>
        <w:rPr>
          <w:rFonts w:hint="eastAsia" w:ascii="仿宋_GB2312" w:hAnsi="黑体" w:eastAsia="仿宋_GB2312" w:cs="Times New Roman"/>
          <w:sz w:val="32"/>
          <w:szCs w:val="32"/>
        </w:rPr>
        <w:t>和日常公用经费</w:t>
      </w:r>
      <w:r>
        <w:rPr>
          <w:rFonts w:hint="eastAsia" w:ascii="仿宋_GB2312" w:hAnsi="黑体" w:eastAsia="仿宋_GB2312" w:cs="Times New Roman"/>
          <w:sz w:val="32"/>
          <w:szCs w:val="32"/>
          <w:lang w:val="en-US" w:eastAsia="zh-CN"/>
        </w:rPr>
        <w:t>1075.80万元</w:t>
      </w:r>
      <w:r>
        <w:rPr>
          <w:rFonts w:hint="eastAsia" w:ascii="仿宋_GB2312" w:hAnsi="黑体" w:eastAsia="仿宋_GB2312" w:cs="Times New Roman"/>
          <w:sz w:val="32"/>
          <w:szCs w:val="32"/>
        </w:rPr>
        <w:t>；项目支出</w:t>
      </w:r>
      <w:r>
        <w:rPr>
          <w:rFonts w:ascii="仿宋_GB2312" w:hAnsi="黑体" w:eastAsia="仿宋_GB2312" w:cs="Times New Roman"/>
          <w:sz w:val="32"/>
          <w:szCs w:val="32"/>
        </w:rPr>
        <w:t>181388.90</w:t>
      </w:r>
      <w:r>
        <w:rPr>
          <w:rFonts w:hint="eastAsia" w:ascii="仿宋_GB2312" w:hAnsi="黑体" w:eastAsia="仿宋_GB2312" w:cs="Times New Roman"/>
          <w:sz w:val="32"/>
          <w:szCs w:val="32"/>
        </w:rPr>
        <w:t>万元，包括本级支出</w:t>
      </w:r>
      <w:r>
        <w:rPr>
          <w:rFonts w:hint="eastAsia" w:ascii="仿宋_GB2312" w:hAnsi="黑体" w:eastAsia="仿宋_GB2312" w:cs="Times New Roman"/>
          <w:sz w:val="32"/>
          <w:szCs w:val="32"/>
          <w:lang w:val="en-US" w:eastAsia="zh-CN"/>
        </w:rPr>
        <w:t>181329.93万元</w:t>
      </w:r>
      <w:r>
        <w:rPr>
          <w:rFonts w:hint="eastAsia" w:ascii="仿宋_GB2312" w:hAnsi="黑体" w:eastAsia="仿宋_GB2312" w:cs="Times New Roman"/>
          <w:sz w:val="32"/>
          <w:szCs w:val="32"/>
        </w:rPr>
        <w:t>和对下补助支出</w:t>
      </w:r>
      <w:r>
        <w:rPr>
          <w:rFonts w:hint="eastAsia" w:ascii="仿宋_GB2312" w:hAnsi="黑体" w:eastAsia="仿宋_GB2312" w:cs="Times New Roman"/>
          <w:sz w:val="32"/>
          <w:szCs w:val="32"/>
          <w:lang w:val="en-US" w:eastAsia="zh-CN"/>
        </w:rPr>
        <w:t>58.97万元</w:t>
      </w:r>
      <w:r>
        <w:rPr>
          <w:rFonts w:hint="eastAsia" w:ascii="仿宋_GB2312" w:hAnsi="黑体" w:eastAsia="仿宋_GB2312" w:cs="Times New Roman"/>
          <w:sz w:val="32"/>
          <w:szCs w:val="32"/>
        </w:rPr>
        <w:t>，主要为</w:t>
      </w:r>
      <w:r>
        <w:rPr>
          <w:rFonts w:hint="eastAsia" w:eastAsia="仿宋_GB2312" w:cs="Times New Roman"/>
          <w:sz w:val="32"/>
          <w:szCs w:val="32"/>
        </w:rPr>
        <w:t>南水北调</w:t>
      </w:r>
      <w:r>
        <w:rPr>
          <w:rFonts w:eastAsia="仿宋_GB2312" w:cs="Times New Roman"/>
          <w:sz w:val="32"/>
          <w:szCs w:val="32"/>
        </w:rPr>
        <w:t>水价补偿资金</w:t>
      </w:r>
      <w:r>
        <w:rPr>
          <w:rFonts w:hint="eastAsia" w:ascii="仿宋_GB2312" w:hAnsi="黑体" w:eastAsia="仿宋_GB2312" w:cs="Times New Roman"/>
          <w:sz w:val="32"/>
          <w:szCs w:val="32"/>
        </w:rPr>
        <w:t>、城区公厕</w:t>
      </w:r>
      <w:r>
        <w:rPr>
          <w:rFonts w:ascii="仿宋_GB2312" w:hAnsi="黑体" w:eastAsia="仿宋_GB2312" w:cs="Times New Roman"/>
          <w:sz w:val="32"/>
          <w:szCs w:val="32"/>
        </w:rPr>
        <w:t>建设及提升改造工程资金</w:t>
      </w:r>
      <w:r>
        <w:rPr>
          <w:rFonts w:hint="eastAsia" w:ascii="仿宋_GB2312" w:hAnsi="黑体" w:eastAsia="仿宋_GB2312" w:cs="Times New Roman"/>
          <w:sz w:val="32"/>
          <w:szCs w:val="32"/>
        </w:rPr>
        <w:t>、廊坊市生活垃圾卫生填埋场建设资金（征地）、郊区快速路西南</w:t>
      </w:r>
      <w:r>
        <w:rPr>
          <w:rFonts w:ascii="仿宋_GB2312" w:hAnsi="黑体" w:eastAsia="仿宋_GB2312" w:cs="Times New Roman"/>
          <w:sz w:val="32"/>
          <w:szCs w:val="32"/>
        </w:rPr>
        <w:t>环线生态景观廊道工程资金</w:t>
      </w:r>
      <w:r>
        <w:rPr>
          <w:rFonts w:hint="eastAsia" w:ascii="仿宋_GB2312" w:hAnsi="黑体" w:eastAsia="仿宋_GB2312" w:cs="Times New Roman"/>
          <w:sz w:val="32"/>
          <w:szCs w:val="32"/>
        </w:rPr>
        <w:t>等。</w:t>
      </w:r>
    </w:p>
    <w:p>
      <w:pPr>
        <w:autoSpaceDE w:val="0"/>
        <w:autoSpaceDN w:val="0"/>
        <w:adjustRightInd w:val="0"/>
        <w:spacing w:line="560" w:lineRule="exact"/>
        <w:ind w:firstLine="643" w:firstLineChars="200"/>
        <w:jc w:val="left"/>
        <w:rPr>
          <w:rFonts w:ascii="楷体" w:hAnsi="楷体" w:eastAsia="楷体" w:cs="楷体"/>
          <w:b/>
          <w:sz w:val="32"/>
          <w:szCs w:val="32"/>
        </w:rPr>
      </w:pPr>
      <w:r>
        <w:rPr>
          <w:rFonts w:hint="eastAsia" w:ascii="楷体" w:hAnsi="楷体" w:eastAsia="楷体" w:cs="楷体"/>
          <w:b/>
          <w:sz w:val="32"/>
          <w:szCs w:val="32"/>
        </w:rPr>
        <w:t>3、比上年增减情况</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2018年预算收支安排</w:t>
      </w:r>
      <w:r>
        <w:rPr>
          <w:rFonts w:ascii="仿宋_GB2312" w:hAnsi="黑体" w:eastAsia="仿宋_GB2312" w:cs="Times New Roman"/>
          <w:sz w:val="32"/>
          <w:szCs w:val="32"/>
        </w:rPr>
        <w:t>195685.16</w:t>
      </w:r>
      <w:r>
        <w:rPr>
          <w:rFonts w:hint="eastAsia" w:ascii="仿宋_GB2312" w:hAnsi="黑体" w:eastAsia="仿宋_GB2312" w:cs="Times New Roman"/>
          <w:sz w:val="32"/>
          <w:szCs w:val="32"/>
        </w:rPr>
        <w:t>万元，较201</w:t>
      </w:r>
      <w:r>
        <w:rPr>
          <w:rFonts w:ascii="仿宋_GB2312" w:hAnsi="黑体" w:eastAsia="仿宋_GB2312" w:cs="Times New Roman"/>
          <w:sz w:val="32"/>
          <w:szCs w:val="32"/>
        </w:rPr>
        <w:t>7</w:t>
      </w:r>
      <w:r>
        <w:rPr>
          <w:rFonts w:hint="eastAsia" w:ascii="仿宋_GB2312" w:hAnsi="黑体" w:eastAsia="仿宋_GB2312" w:cs="Times New Roman"/>
          <w:sz w:val="32"/>
          <w:szCs w:val="32"/>
        </w:rPr>
        <w:t>年预算减少</w:t>
      </w:r>
      <w:r>
        <w:rPr>
          <w:rFonts w:ascii="仿宋_GB2312" w:hAnsi="黑体" w:eastAsia="仿宋_GB2312" w:cs="Times New Roman"/>
          <w:sz w:val="32"/>
          <w:szCs w:val="32"/>
        </w:rPr>
        <w:t>96340.74</w:t>
      </w:r>
      <w:r>
        <w:rPr>
          <w:rFonts w:hint="eastAsia" w:ascii="仿宋_GB2312" w:hAnsi="黑体" w:eastAsia="仿宋_GB2312" w:cs="Times New Roman"/>
          <w:sz w:val="32"/>
          <w:szCs w:val="32"/>
        </w:rPr>
        <w:t>万元，其中：基本支出增加</w:t>
      </w:r>
      <w:r>
        <w:rPr>
          <w:rFonts w:ascii="仿宋_GB2312" w:hAnsi="黑体" w:eastAsia="仿宋_GB2312" w:cs="Times New Roman"/>
          <w:sz w:val="32"/>
          <w:szCs w:val="32"/>
        </w:rPr>
        <w:t>2747.93</w:t>
      </w:r>
      <w:r>
        <w:rPr>
          <w:rFonts w:hint="eastAsia" w:ascii="仿宋_GB2312" w:hAnsi="黑体" w:eastAsia="仿宋_GB2312" w:cs="Times New Roman"/>
          <w:sz w:val="32"/>
          <w:szCs w:val="32"/>
        </w:rPr>
        <w:t>万元，主要为增加人员经费支出；项目支出减少</w:t>
      </w:r>
      <w:r>
        <w:rPr>
          <w:rFonts w:ascii="仿宋_GB2312" w:hAnsi="黑体" w:eastAsia="仿宋_GB2312" w:cs="Times New Roman"/>
          <w:sz w:val="32"/>
          <w:szCs w:val="32"/>
        </w:rPr>
        <w:t>99088.67</w:t>
      </w:r>
      <w:r>
        <w:rPr>
          <w:rFonts w:hint="eastAsia" w:ascii="仿宋_GB2312" w:hAnsi="黑体" w:eastAsia="仿宋_GB2312" w:cs="Times New Roman"/>
          <w:sz w:val="32"/>
          <w:szCs w:val="32"/>
        </w:rPr>
        <w:t>万元，主要为201</w:t>
      </w:r>
      <w:r>
        <w:rPr>
          <w:rFonts w:ascii="仿宋_GB2312" w:hAnsi="黑体" w:eastAsia="仿宋_GB2312" w:cs="Times New Roman"/>
          <w:sz w:val="32"/>
          <w:szCs w:val="32"/>
        </w:rPr>
        <w:t>8</w:t>
      </w:r>
      <w:r>
        <w:rPr>
          <w:rFonts w:hint="eastAsia" w:ascii="仿宋_GB2312" w:hAnsi="黑体" w:eastAsia="仿宋_GB2312" w:cs="Times New Roman"/>
          <w:sz w:val="32"/>
          <w:szCs w:val="32"/>
        </w:rPr>
        <w:t>年预算项目数减少</w:t>
      </w:r>
      <w:r>
        <w:rPr>
          <w:rFonts w:ascii="仿宋_GB2312" w:hAnsi="黑体" w:eastAsia="仿宋_GB2312" w:cs="Times New Roman"/>
          <w:sz w:val="32"/>
          <w:szCs w:val="32"/>
        </w:rPr>
        <w:t>，</w:t>
      </w:r>
      <w:r>
        <w:rPr>
          <w:rFonts w:hint="eastAsia" w:ascii="仿宋_GB2312" w:hAnsi="黑体" w:eastAsia="仿宋_GB2312" w:cs="Times New Roman"/>
          <w:sz w:val="32"/>
          <w:szCs w:val="32"/>
        </w:rPr>
        <w:t>所需资金</w:t>
      </w:r>
      <w:r>
        <w:rPr>
          <w:rFonts w:ascii="仿宋_GB2312" w:hAnsi="黑体" w:eastAsia="仿宋_GB2312" w:cs="Times New Roman"/>
          <w:sz w:val="32"/>
          <w:szCs w:val="32"/>
        </w:rPr>
        <w:t>减少</w:t>
      </w:r>
      <w:r>
        <w:rPr>
          <w:rFonts w:hint="eastAsia" w:ascii="仿宋_GB2312" w:hAnsi="黑体" w:eastAsia="仿宋_GB2312" w:cs="Times New Roman"/>
          <w:sz w:val="32"/>
          <w:szCs w:val="32"/>
        </w:rPr>
        <w:t>。</w:t>
      </w:r>
    </w:p>
    <w:p>
      <w:pPr>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三、机关运行经费安排情况</w:t>
      </w:r>
    </w:p>
    <w:p>
      <w:pPr>
        <w:autoSpaceDE w:val="0"/>
        <w:autoSpaceDN w:val="0"/>
        <w:adjustRightInd w:val="0"/>
        <w:spacing w:line="560" w:lineRule="exact"/>
        <w:ind w:left="198" w:firstLine="640" w:firstLineChars="200"/>
        <w:jc w:val="left"/>
        <w:rPr>
          <w:rFonts w:ascii="Times New Roman" w:hAnsi="Times New Roman" w:eastAsia="方正仿宋_GBK" w:cs="Times New Roman"/>
          <w:sz w:val="32"/>
          <w:szCs w:val="32"/>
        </w:rPr>
      </w:pPr>
      <w:r>
        <w:rPr>
          <w:rFonts w:hint="eastAsia" w:ascii="仿宋_GB2312" w:hAnsi="黑体" w:eastAsia="仿宋_GB2312" w:cs="Times New Roman"/>
          <w:sz w:val="32"/>
          <w:szCs w:val="32"/>
        </w:rPr>
        <w:t>机关运行经费共计安排</w:t>
      </w:r>
      <w:r>
        <w:rPr>
          <w:rFonts w:ascii="仿宋_GB2312" w:hAnsi="黑体" w:eastAsia="仿宋_GB2312" w:cs="Times New Roman"/>
          <w:sz w:val="32"/>
          <w:szCs w:val="32"/>
        </w:rPr>
        <w:t>1075.80</w:t>
      </w:r>
      <w:r>
        <w:rPr>
          <w:rFonts w:hint="eastAsia" w:ascii="仿宋_GB2312" w:hAnsi="黑体" w:eastAsia="仿宋_GB2312" w:cs="Times New Roman"/>
          <w:sz w:val="32"/>
          <w:szCs w:val="32"/>
        </w:rPr>
        <w:t>万元，主要用于廊坊市建设局办公区的日常维修、办公用房水电费、办公用房取暖费、办公用房物业管理费等日常运行支出</w:t>
      </w:r>
      <w:r>
        <w:rPr>
          <w:rFonts w:ascii="Times New Roman" w:hAnsi="Times New Roman" w:eastAsia="方正仿宋_GBK" w:cs="Times New Roman"/>
          <w:sz w:val="32"/>
          <w:szCs w:val="32"/>
        </w:rPr>
        <w:t>。</w:t>
      </w:r>
    </w:p>
    <w:p>
      <w:pPr>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四、财政拨款“三公”经费预算情况及增减变化原因</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2018年，我局“三公”经费预算安排69.</w:t>
      </w:r>
      <w:r>
        <w:rPr>
          <w:rFonts w:ascii="仿宋_GB2312" w:hAnsi="黑体" w:eastAsia="仿宋_GB2312" w:cs="Times New Roman"/>
          <w:sz w:val="32"/>
          <w:szCs w:val="32"/>
        </w:rPr>
        <w:t>18</w:t>
      </w:r>
      <w:r>
        <w:rPr>
          <w:rFonts w:hint="eastAsia" w:ascii="仿宋_GB2312" w:hAnsi="黑体" w:eastAsia="仿宋_GB2312" w:cs="Times New Roman"/>
          <w:sz w:val="32"/>
          <w:szCs w:val="32"/>
        </w:rPr>
        <w:t>万元，其中因公出国（境）费0万元；公务用车购置及运维费60.</w:t>
      </w:r>
      <w:r>
        <w:rPr>
          <w:rFonts w:ascii="仿宋_GB2312" w:hAnsi="黑体" w:eastAsia="仿宋_GB2312" w:cs="Times New Roman"/>
          <w:sz w:val="32"/>
          <w:szCs w:val="32"/>
        </w:rPr>
        <w:t>33</w:t>
      </w:r>
      <w:r>
        <w:rPr>
          <w:rFonts w:hint="eastAsia" w:ascii="仿宋_GB2312" w:hAnsi="黑体" w:eastAsia="仿宋_GB2312" w:cs="Times New Roman"/>
          <w:sz w:val="32"/>
          <w:szCs w:val="32"/>
        </w:rPr>
        <w:t>万元（其中：公务用车购置费为0万元，公务用车运行费60.</w:t>
      </w:r>
      <w:r>
        <w:rPr>
          <w:rFonts w:ascii="仿宋_GB2312" w:hAnsi="黑体" w:eastAsia="仿宋_GB2312" w:cs="Times New Roman"/>
          <w:sz w:val="32"/>
          <w:szCs w:val="32"/>
        </w:rPr>
        <w:t>33</w:t>
      </w:r>
      <w:r>
        <w:rPr>
          <w:rFonts w:hint="eastAsia" w:ascii="仿宋_GB2312" w:hAnsi="黑体" w:eastAsia="仿宋_GB2312" w:cs="Times New Roman"/>
          <w:sz w:val="32"/>
          <w:szCs w:val="32"/>
        </w:rPr>
        <w:t>万元)；公务接待费8.98万元。与201</w:t>
      </w:r>
      <w:r>
        <w:rPr>
          <w:rFonts w:ascii="仿宋_GB2312" w:hAnsi="黑体" w:eastAsia="仿宋_GB2312" w:cs="Times New Roman"/>
          <w:sz w:val="32"/>
          <w:szCs w:val="32"/>
        </w:rPr>
        <w:t>7</w:t>
      </w:r>
      <w:r>
        <w:rPr>
          <w:rFonts w:hint="eastAsia" w:ascii="仿宋_GB2312" w:hAnsi="黑体" w:eastAsia="仿宋_GB2312" w:cs="Times New Roman"/>
          <w:sz w:val="32"/>
          <w:szCs w:val="32"/>
        </w:rPr>
        <w:t>年减少0.</w:t>
      </w:r>
      <w:r>
        <w:rPr>
          <w:rFonts w:ascii="仿宋_GB2312" w:hAnsi="黑体" w:eastAsia="仿宋_GB2312" w:cs="Times New Roman"/>
          <w:sz w:val="32"/>
          <w:szCs w:val="32"/>
        </w:rPr>
        <w:t>54</w:t>
      </w:r>
      <w:r>
        <w:rPr>
          <w:rFonts w:hint="eastAsia" w:ascii="仿宋_GB2312" w:hAnsi="黑体" w:eastAsia="仿宋_GB2312" w:cs="Times New Roman"/>
          <w:sz w:val="32"/>
          <w:szCs w:val="32"/>
        </w:rPr>
        <w:t>万元，主要原因是原因是我局严格贯彻落实中央八项规定,厉行节俭,严格控制三公经费的支出。</w:t>
      </w:r>
    </w:p>
    <w:p>
      <w:pPr>
        <w:spacing w:line="560" w:lineRule="exact"/>
        <w:ind w:firstLine="640"/>
        <w:rPr>
          <w:rFonts w:ascii="黑体" w:hAnsi="黑体" w:eastAsia="黑体" w:cs="Times New Roman"/>
          <w:sz w:val="32"/>
          <w:szCs w:val="32"/>
        </w:rPr>
      </w:pPr>
      <w:r>
        <w:rPr>
          <w:rFonts w:hint="eastAsia" w:ascii="黑体" w:hAnsi="黑体" w:eastAsia="黑体" w:cs="Times New Roman"/>
          <w:sz w:val="32"/>
          <w:szCs w:val="32"/>
        </w:rPr>
        <w:t>五、绩效预算信息</w:t>
      </w:r>
    </w:p>
    <w:p>
      <w:pPr>
        <w:autoSpaceDE w:val="0"/>
        <w:autoSpaceDN w:val="0"/>
        <w:adjustRightInd w:val="0"/>
        <w:spacing w:line="560" w:lineRule="exact"/>
        <w:ind w:firstLine="643" w:firstLineChars="200"/>
        <w:jc w:val="left"/>
        <w:rPr>
          <w:rFonts w:ascii="楷体" w:hAnsi="楷体" w:eastAsia="楷体" w:cs="楷体"/>
          <w:b/>
          <w:sz w:val="32"/>
          <w:szCs w:val="32"/>
        </w:rPr>
      </w:pPr>
      <w:bookmarkStart w:id="0" w:name="_Toc471398463"/>
      <w:r>
        <w:rPr>
          <w:rFonts w:hint="eastAsia" w:ascii="楷体" w:hAnsi="楷体" w:eastAsia="楷体" w:cs="楷体"/>
          <w:b/>
          <w:sz w:val="32"/>
          <w:szCs w:val="32"/>
        </w:rPr>
        <w:t>总体绩效目标：</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2018年是防治大气污染，改善环境质量，建设“园林式、生态型、现代化”新廊坊的重要之年。加大对二次扬尘的综合治理工作，采取绿化责任制、加强建筑施工管理、扩大地面铺装面积、控制渣土堆放和清洁运输等措施，提高人均占有绿地面积，减少市区裸露地面和地面尘土，防止城市扬尘污染，在市区进行建设施工或其他产生扬尘污染的单位，必须在施工工地采取围挡、路面硬化、湿化、覆盖运输、封闭堆料场等防尘措施。对不符合要求的工地要限期整治，直至责令停工整治，并将其纳入施工验收的一项重要内容。</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（一）突出抓好大气污染综合治理工作，全面提升城市环境</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文明施工管理是企业施工生产经意的综合反映，应贯穿于施工管理的全过程，以便提高劳动生产率、降低物耗、美化环境、防止大气污染、防尘、并在施工过程中对现场实行全封闭、半封闭。实施全过程的扬尘防止管理，保证在施工过程中无扬尘污染事故发生。遵守国家关于环境保护的各项法律、法规及相关文件，达到河北省《建筑施工安全文明管理规定》中关于环境保护，扬尘治理方面的要求。</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（二）突出抓好建筑市场整顿，加快建筑强市步伐</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进一步加强建筑市场整顿活动，保证全市建筑业持续稳定发展，产业规模不断扩大，建筑市场秩序逐渐规范，工程质量稳步提高，安全事故明显下降。</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（三）城市规划建设上水平</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近年来，我市前瞻性地规划城市发展框架，大力度拓展城市发展空间，高速度加强基础设施建设，进一步完善城市的载体功能，不断提升城市建设品位，城市面貌日新月异，一座园林式、生态型、现代化的新兴城市正在加速崛起。</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城市建设规划是城市发展的长远目标。一直以来，我市的规划坚持高起点、大手笔，努力把廊坊打造成在当代城市中有个性、在世界城建史有记录的城市。到2018年将以“生态+智能”，这一全球独一无二的城市定位，让廊坊站在世界的前沿，引领世界城市建设规划和发展的未来方向。</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面对城市发展中的困难和挑战，廊坊用“世界眼光”、“全球视野”，超前性地提出了市区、廊坊开发区、万庄新区“三点组团”的城市空间布局发展模式；按照城市建设规划要求，把廊坊的城市建设和发展提升到新境界、引领到新世纪的决心和信心。</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（四）突出抓好城区防汛，确保安全度汛</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立足防大汛，抗大汛，早准备、早部署、早落实，全力做好城区防汛。市政处、市环卫局等部门及早谋划，精心部署，以保证市区群众正常的生产生活秩序和生命财产安全。</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（五）解决拆迁和资金瓶颈，确保重点工程顺利进行</w:t>
      </w:r>
    </w:p>
    <w:p>
      <w:pPr>
        <w:autoSpaceDE w:val="0"/>
        <w:autoSpaceDN w:val="0"/>
        <w:adjustRightInd w:val="0"/>
        <w:spacing w:line="560" w:lineRule="exact"/>
        <w:ind w:left="198" w:firstLine="640" w:firstLineChars="200"/>
        <w:jc w:val="left"/>
        <w:rPr>
          <w:rFonts w:ascii="仿宋_GB2312" w:hAnsi="黑体" w:eastAsia="仿宋_GB2312" w:cs="Times New Roman"/>
          <w:sz w:val="32"/>
          <w:szCs w:val="32"/>
        </w:rPr>
      </w:pPr>
      <w:r>
        <w:rPr>
          <w:rFonts w:hint="eastAsia" w:ascii="仿宋_GB2312" w:hAnsi="黑体" w:eastAsia="仿宋_GB2312" w:cs="Times New Roman"/>
          <w:sz w:val="32"/>
          <w:szCs w:val="32"/>
        </w:rPr>
        <w:t>拆迁实现零上访。坚持依法拆迁、和谐拆迁，确保拆迁补偿政策落到实处，实现“拆迁一处、造福一方、稳定一片”的目标。</w:t>
      </w:r>
    </w:p>
    <w:p>
      <w:pPr>
        <w:spacing w:line="560" w:lineRule="exact"/>
        <w:jc w:val="center"/>
        <w:outlineLvl w:val="0"/>
        <w:rPr>
          <w:rFonts w:ascii="方正小标宋_GBK" w:hAnsi="Times New Roman" w:eastAsia="方正小标宋_GBK" w:cs="Times New Roman"/>
          <w:sz w:val="32"/>
          <w:szCs w:val="24"/>
        </w:rPr>
      </w:pPr>
    </w:p>
    <w:p>
      <w:pPr>
        <w:spacing w:line="560" w:lineRule="exact"/>
        <w:jc w:val="center"/>
        <w:outlineLvl w:val="0"/>
        <w:rPr>
          <w:rFonts w:ascii="方正小标宋_GBK" w:hAnsi="Times New Roman" w:eastAsia="方正小标宋_GBK" w:cs="Times New Roman"/>
          <w:sz w:val="32"/>
          <w:szCs w:val="24"/>
        </w:rPr>
      </w:pPr>
      <w:r>
        <w:rPr>
          <w:rFonts w:hint="eastAsia" w:ascii="方正小标宋_GBK" w:hAnsi="Times New Roman" w:eastAsia="方正小标宋_GBK" w:cs="Times New Roman"/>
          <w:sz w:val="32"/>
          <w:szCs w:val="24"/>
        </w:rPr>
        <w:t>部门职责-工作活动绩效目标</w:t>
      </w:r>
      <w:bookmarkEnd w:id="0"/>
    </w:p>
    <w:tbl>
      <w:tblPr>
        <w:tblStyle w:val="7"/>
        <w:tblW w:w="13934"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pPr>
              <w:spacing w:line="560" w:lineRule="exact"/>
              <w:jc w:val="left"/>
              <w:rPr>
                <w:rFonts w:ascii="方正小标宋_GBK" w:eastAsia="方正小标宋_GBK"/>
                <w:sz w:val="24"/>
              </w:rPr>
            </w:pPr>
            <w:r>
              <w:rPr>
                <w:rFonts w:hint="eastAsia" w:ascii="方正小标宋_GBK" w:eastAsia="方正小标宋_GBK"/>
                <w:sz w:val="24"/>
              </w:rPr>
              <w:t>601廊坊市建设局</w:t>
            </w:r>
          </w:p>
        </w:tc>
        <w:tc>
          <w:tcPr>
            <w:tcW w:w="2948" w:type="dxa"/>
            <w:gridSpan w:val="4"/>
            <w:tcBorders>
              <w:top w:val="single" w:color="FFFFFF" w:sz="6" w:space="0"/>
              <w:left w:val="single" w:color="FFFFFF" w:sz="6" w:space="0"/>
              <w:right w:val="single" w:color="FFFFFF" w:sz="6" w:space="0"/>
            </w:tcBorders>
            <w:shd w:val="clear" w:color="auto" w:fill="auto"/>
            <w:vAlign w:val="center"/>
          </w:tcPr>
          <w:p>
            <w:pPr>
              <w:spacing w:line="560" w:lineRule="exact"/>
              <w:jc w:val="right"/>
              <w:rPr>
                <w:rFonts w:ascii="方正书宋_GBK" w:eastAsia="方正书宋_GBK"/>
                <w:sz w:val="24"/>
              </w:rPr>
            </w:pPr>
            <w:r>
              <w:rPr>
                <w:rFonts w:hint="eastAsia" w:ascii="方正书宋_GBK" w:eastAsia="方正书宋_GBK"/>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评价标准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pPr>
              <w:spacing w:line="560" w:lineRule="exact"/>
              <w:jc w:val="left"/>
              <w:outlineLvl w:val="0"/>
            </w:pPr>
          </w:p>
        </w:tc>
        <w:tc>
          <w:tcPr>
            <w:tcW w:w="1276" w:type="dxa"/>
            <w:vMerge w:val="continue"/>
            <w:shd w:val="clear" w:color="auto" w:fill="auto"/>
            <w:vAlign w:val="center"/>
          </w:tcPr>
          <w:p>
            <w:pPr>
              <w:spacing w:line="560" w:lineRule="exact"/>
              <w:jc w:val="left"/>
              <w:outlineLvl w:val="0"/>
            </w:pPr>
          </w:p>
        </w:tc>
        <w:tc>
          <w:tcPr>
            <w:tcW w:w="2976" w:type="dxa"/>
            <w:vMerge w:val="continue"/>
            <w:shd w:val="clear" w:color="auto" w:fill="auto"/>
            <w:vAlign w:val="center"/>
          </w:tcPr>
          <w:p>
            <w:pPr>
              <w:spacing w:line="560" w:lineRule="exact"/>
              <w:jc w:val="left"/>
              <w:outlineLvl w:val="0"/>
            </w:pPr>
          </w:p>
        </w:tc>
        <w:tc>
          <w:tcPr>
            <w:tcW w:w="2976" w:type="dxa"/>
            <w:vMerge w:val="continue"/>
            <w:shd w:val="clear" w:color="auto" w:fill="auto"/>
            <w:vAlign w:val="center"/>
          </w:tcPr>
          <w:p>
            <w:pPr>
              <w:spacing w:line="560" w:lineRule="exact"/>
              <w:jc w:val="left"/>
              <w:outlineLvl w:val="0"/>
            </w:pPr>
          </w:p>
        </w:tc>
        <w:tc>
          <w:tcPr>
            <w:tcW w:w="1417" w:type="dxa"/>
            <w:vMerge w:val="continue"/>
            <w:shd w:val="clear" w:color="auto" w:fill="auto"/>
            <w:vAlign w:val="center"/>
          </w:tcPr>
          <w:p>
            <w:pPr>
              <w:spacing w:line="560" w:lineRule="exact"/>
              <w:jc w:val="left"/>
              <w:outlineLvl w:val="0"/>
            </w:pPr>
          </w:p>
        </w:tc>
        <w:tc>
          <w:tcPr>
            <w:tcW w:w="737" w:type="dxa"/>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pPr>
              <w:spacing w:line="560" w:lineRule="exact"/>
              <w:jc w:val="center"/>
              <w:rPr>
                <w:rFonts w:ascii="方正书宋_GBK" w:eastAsia="方正书宋_GBK"/>
                <w:b/>
              </w:rPr>
            </w:pPr>
            <w:r>
              <w:rPr>
                <w:rFonts w:hint="eastAsia" w:ascii="方正书宋_GBK" w:eastAsia="方正书宋_GBK"/>
                <w:b/>
              </w:rPr>
              <w:t>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城乡建设管理</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18182.00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指导城市市政公用设施建设、安全和应急管理；拟定风景名胜区的发展规划、政策并指导实施；拟定村庄和小城镇建设政策并指导实施；指导镇、乡村庄规划的编制和实施；指导农村住房建设、住房安全和危房改造；改善小城镇和村庄人居环境；指导做好国家级重点镇及省级重点镇的建设。</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加强管理，提高城市承载能力和宜居度。加强村镇建设，改善农村人居环境，实现城乡统筹发展。协调和指导推进城镇化工作，加快城镇化进程。指导城市建设投融资体制改革，破解融资难题。</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市政公用设施建设与管理</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18177.00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拟定全市公用事业发展中长期规划、产业政策、改革措施及有关规范；指导城市供水、供热、燃气、园林绿化和环境卫生工作；负责贯彻落实公用行业技术标准和公用企业资质标准。拟定城市供水节水中长期规划、计划、改革措施及有关规范；负责对市区公共景点的设计和保护监督管理工作；负责市区夜景亮化的规划、设计和管理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指导各地加强城市市政基础设施建设</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设区市住宅供热计量收费率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50%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城市基础设施建设工作目标完成量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w:t>
            </w:r>
            <w:r>
              <w:rPr>
                <w:rFonts w:hint="eastAsia" w:ascii="方正书宋_GBK" w:eastAsia="方正书宋_GBK"/>
              </w:rPr>
              <w:t>项</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3</w:t>
            </w:r>
            <w:r>
              <w:rPr>
                <w:rFonts w:hint="eastAsia" w:ascii="方正书宋_GBK" w:eastAsia="方正书宋_GBK"/>
              </w:rPr>
              <w:t>项</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2</w:t>
            </w:r>
            <w:r>
              <w:rPr>
                <w:rFonts w:hint="eastAsia" w:ascii="方正书宋_GBK" w:eastAsia="方正书宋_GBK"/>
              </w:rPr>
              <w:t>项</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w:t>
            </w:r>
            <w:r>
              <w:rPr>
                <w:rFonts w:hint="eastAsia" w:ascii="方正书宋_GBK" w:eastAsia="方正书宋_GBK"/>
              </w:rPr>
              <w:t>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推进城镇化建设</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5.00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拟定全市县城、乡镇和村庄建设有关政策并监督执行；参与组织编制村镇建设发展规划和推动村镇规划的编制、实施和通用设计图的编制推广工作；指导村镇的统一开发、综合建设工作；组织村镇建设试点；协调和指导推进城镇化工作，城市建设投融资体制改革。</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加强村镇建设，改善农村人居环境，实现城乡统筹发展</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垃圾处理率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98%</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危房改造完成率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98%</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建筑业、房地产市场监管</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348.00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根据国家、省的经济方针和产业政策，研究拟定全市工程建设、城市建设、村镇建设、建筑业、市政公用事业、勘察业、以及园林绿化、环境卫生行业的有关政策及发展规划，并组织指导实施的行业管理。参与城市总体规划、城镇体系规划的制定和市管建设项目的选址定点工作；</w:t>
            </w:r>
            <w:r>
              <w:rPr>
                <w:rFonts w:ascii="方正书宋_GBK" w:eastAsia="方正书宋_GBK"/>
              </w:rPr>
              <w:t xml:space="preserve"> </w:t>
            </w:r>
            <w:r>
              <w:rPr>
                <w:rFonts w:hint="eastAsia" w:ascii="方正书宋_GBK" w:eastAsia="方正书宋_GBK"/>
              </w:rPr>
              <w:t>负责城建档案的管理工作。监督工程建设程序的执行；管理监督工程建设勘察设计、审查、施工的招标投标工作，指导、规范和综合管理全市建筑市场；与有关部门协商拟定建设工期定额、工程造价、投资结算指标。</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规范建筑市场各方主体行为，促进建筑市场健康发展。提高建筑工程质量，减少建筑安全生产事故，提高行业水平。加强市场监测，促进全市房地产市场持续健康发展。</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全市建筑业管理</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348.00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拟定全市工程建设、建筑业发展政策、规章制度并监督执行，规范建筑市场各方主体行为。组织贯彻实施招标投标监督管理、参与制定招投标监督管理、建筑市场监管的法规、规范性文件，监督管理招投标全过程及查处违反有关招投标法律、法规、规章、建筑市场各类违规行为。</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提供科学合理的计价依据，公正调解工程造价计价纠纷。促进建筑市场的规范管理，为营造公平的建筑市场竞争环境提供法律依据</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农民工工资预储金增长率</w:t>
            </w: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执行农民工工资预储金制度的设区市数量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计价依据编制完成率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房地产市场监管</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规范和综合管理全市建筑市场，拟定规范建筑市场各方主体的市场行为以及建设监理、合同管理、工程风险管理和工程勘察设计咨询市场的规范并监督执行；认定从事各类工程建设项目招标代理业务的招标代理机构的资格并负责监督管理；负责市管建设项目的报建、开工报告和竣工验收。</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加强市场监测，促进全市房地产市场持续健康发展</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房地产市场统计分析工作完成及时率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建筑工程质量安全监管</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贯彻安全生产法律法规、完善建筑安全生产监督体系、监管制度，组织落实安全生产责任制，对建筑企业升级、安全生产进行评估评定，委托查处制止施工现场违章行为，对安全隐患按规定程序排除</w:t>
            </w:r>
            <w:r>
              <w:rPr>
                <w:rFonts w:ascii="方正书宋_GBK" w:eastAsia="方正书宋_GBK"/>
              </w:rPr>
              <w:t xml:space="preserve"> </w:t>
            </w:r>
            <w:r>
              <w:rPr>
                <w:rFonts w:hint="eastAsia" w:ascii="方正书宋_GBK" w:eastAsia="方正书宋_GBK"/>
              </w:rPr>
              <w:t>。对市辖区内新建、扩建、改建房屋建筑和市政基础设施工程实施工程质量监督管理，对辖区内各县级质监站进行业务指导。对工程实体质量和工程建设、勘察、设计、施工、监理单位和质量检测等单位的工程质量行为实施监督。</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加强工程勘察设计行业管理，提高建筑工程勘察设计质量水平</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工程质量投诉结案率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工程质量投诉量降低率</w:t>
            </w: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建筑工程施工现场达标率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97%</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地方标准制定数量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2</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无</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施工图设计文件审查率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推进建筑节能</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49.97</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城镇新建建筑节能监管；开展既有建筑节能改造；推动绿色建筑发展；推进可再生能源建筑应用；开展公共建筑能耗监测体系建设及公共建筑节能改造；开展建筑节能和绿色建筑示范建设；加强建设科技工作；组织实施建筑节能示范项目；加强新型墙体材料、新技术和新建筑节能产品的推广应用。</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提高建设科技对住房城乡建设发展的贡献率，充分发挥建筑节能在城镇节能减排中的作用；提高新型墙体材料、新技术和新建筑节能产品在新建建筑中应用。</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推进建筑节能</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49.97</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引导推进建筑节能和绿色建筑，组织实施各项建筑节能、绿色建筑、新技术、新体系应用示范项目。推动绿色建筑及住宅产业化，引导建造方式转变，提升住宅性能和品质。</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提高既有居住建筑的保温性能。评选备案项目，完善市级能耗监测平台，建立市级中转平台，实现能耗数据采集、传输、统计等功能。经改造的公共建筑达到节能标准。积累新技术新体系应用经验</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既有居住建筑供热计量及节能改造任务完成面积</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1000</w:t>
            </w:r>
            <w:r>
              <w:rPr>
                <w:rFonts w:hint="eastAsia" w:ascii="方正书宋_GBK" w:eastAsia="方正书宋_GBK"/>
              </w:rPr>
              <w:t>万平方米</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900</w:t>
            </w:r>
            <w:r>
              <w:rPr>
                <w:rFonts w:hint="eastAsia" w:ascii="方正书宋_GBK" w:eastAsia="方正书宋_GBK"/>
              </w:rPr>
              <w:t>万平方米</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800</w:t>
            </w:r>
            <w:r>
              <w:rPr>
                <w:rFonts w:hint="eastAsia" w:ascii="方正书宋_GBK" w:eastAsia="方正书宋_GBK"/>
              </w:rPr>
              <w:t>万平方米</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800</w:t>
            </w:r>
            <w:r>
              <w:rPr>
                <w:rFonts w:hint="eastAsia" w:ascii="方正书宋_GBK" w:eastAsia="方正书宋_GBK"/>
              </w:rPr>
              <w:t>万平方米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建筑应用可再生能源面积比例</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43%</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42%</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41%</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科技新成果完成数量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24</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18</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市级中转平台建设数量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建筑节能材料管理</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组织建筑节能材料产品推广应用，定期发布建设机械材料设备淘汰、限制使用和推广应用产品目录，定期开展建材市场秩序专项整治。开展绿色建材星级评价工作。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建材市场秩序规范，绿色建材得到广泛应用，低效耗能建设机械及时淘汰</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节能环保建筑产品推广应用项目个数</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15</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通过绿色建材星级评价企业数量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15</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抽检在建工程数量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40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城建政务管理</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6413.48</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负责城建系统综合业务管理和机关综合事务管理。</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全市城市建设人才队伍建设，提高人才业务素质，激励工作热情，提高行业水平。提升机关及行业信息化水平，保障机关办公网络、门户网站及各类业务系统安全稳定运行；加大信息宣传力度，创造良好舆论氛围。规范审批行为，推进政务公开，增加服务意识，提高工作效率。组织各县区上报建设行业统计数据。加强我市建设事业对外交流。法律制度适应本行业经济社会发展需要</w:t>
            </w:r>
            <w:r>
              <w:rPr>
                <w:rFonts w:ascii="方正书宋_GBK" w:eastAsia="方正书宋_GBK"/>
              </w:rPr>
              <w:t>,</w:t>
            </w:r>
            <w:r>
              <w:rPr>
                <w:rFonts w:hint="eastAsia" w:ascii="方正书宋_GBK" w:eastAsia="方正书宋_GBK"/>
              </w:rPr>
              <w:t>矛盾有效化解，政群关系和谐，促进行业健康发展。</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综合业务管理</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119.48</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组织编制建设行业发展规划，拟定相关法规规章草案政策和行业技术标准，推进全系统依法行政，加强行政许可管理，开展建设行业对外合作交流；组织编制科技发展规划，推进建设科技发展。</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法律制度适应本行业经济社会发展需要</w:t>
            </w:r>
            <w:r>
              <w:rPr>
                <w:rFonts w:ascii="方正书宋_GBK" w:eastAsia="方正书宋_GBK"/>
              </w:rPr>
              <w:t>,</w:t>
            </w:r>
            <w:r>
              <w:rPr>
                <w:rFonts w:hint="eastAsia" w:ascii="方正书宋_GBK" w:eastAsia="方正书宋_GBK"/>
              </w:rPr>
              <w:t>矛盾有效化解，政群关系和谐，促进行业健康发展</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案件审结率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服务对象满意度</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行政应诉率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综合事务管理</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6294.00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推进建设行业信息化建设、建设系统综合管理等综合事务工作，保证行政工作高效有序运行。</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提升机关及行业信息化水平，保障机关办公网络、门户网站及各类业务系统安全稳定运行；加大信息宣传力度，创造良好舆论氛围</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综合事务管理工作完成率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房屋征收</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418.00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贯彻执行国家和省房屋征收与补偿的法律法规和政策，调研、起草我市房屋征收与补偿的有关规定</w:t>
            </w:r>
            <w:r>
              <w:rPr>
                <w:rFonts w:ascii="方正书宋_GBK" w:eastAsia="方正书宋_GBK"/>
              </w:rPr>
              <w:t>;</w:t>
            </w:r>
            <w:r>
              <w:rPr>
                <w:rFonts w:hint="eastAsia" w:ascii="方正书宋_GBK" w:eastAsia="方正书宋_GBK"/>
              </w:rPr>
              <w:t>指导、协调、监督各县（市、区）房屋征收与补偿工作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组织、协调完成市里确定的旧居住区改造及棚户区改造等工作任务，改善居民居住环境和城区生活条件，美化城市，推动和谐发展。</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城区房屋征收与补偿</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418.00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组织实施和委托实施城区房屋征收与补偿工作；负责房屋征收实施单位及其从业人员的培训、监管工作；负责房屋征收补偿安置矛盾纠纷的调解工作；负责房屋征收补偿过程中的信访与政策咨询工作。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改善居住环境、完成国家计划，完成重点工程</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协议签订率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旧居住区改造</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承接原市区</w:t>
            </w:r>
            <w:r>
              <w:rPr>
                <w:rFonts w:hint="cs" w:ascii="方正书宋_GBK" w:eastAsia="方正书宋_GBK"/>
              </w:rPr>
              <w:t>“</w:t>
            </w:r>
            <w:r>
              <w:rPr>
                <w:rFonts w:hint="eastAsia" w:ascii="方正书宋_GBK" w:eastAsia="方正书宋_GBK"/>
              </w:rPr>
              <w:t>一拆两改</w:t>
            </w:r>
            <w:r>
              <w:rPr>
                <w:rFonts w:hint="cs" w:ascii="方正书宋_GBK" w:eastAsia="方正书宋_GBK"/>
              </w:rPr>
              <w:t>”</w:t>
            </w:r>
            <w:r>
              <w:rPr>
                <w:rFonts w:hint="eastAsia" w:ascii="方正书宋_GBK" w:eastAsia="方正书宋_GBK"/>
              </w:rPr>
              <w:t>在项目实施过程中拥有的对相关部门的协调、函告等相关工作职能，并负责旧居住区全部遗留问题的处理，保证全部项目回迁安置完成。</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确保近年来启动的尚未全部完成拆迁改造项目的正常进行</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实际回迁安置户数</w:t>
            </w:r>
            <w:r>
              <w:rPr>
                <w:rFonts w:ascii="方正书宋_GBK" w:eastAsia="方正书宋_GBK"/>
              </w:rPr>
              <w:t>/</w:t>
            </w:r>
            <w:r>
              <w:rPr>
                <w:rFonts w:hint="eastAsia" w:ascii="方正书宋_GBK" w:eastAsia="方正书宋_GBK"/>
              </w:rPr>
              <w:t>符合回迁安置条件户数</w:t>
            </w: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棚户区改造</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编制或规划棚户区改造计划；组织实施棚户区改造</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改善城区生活条件，美化城市环境，完成国家计划</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开工率</w:t>
            </w: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城乡社区环境卫生维护</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25573.00</w:t>
            </w:r>
          </w:p>
        </w:tc>
        <w:tc>
          <w:tcPr>
            <w:tcW w:w="2976" w:type="dxa"/>
            <w:shd w:val="clear" w:color="auto" w:fill="auto"/>
            <w:vAlign w:val="center"/>
          </w:tcPr>
          <w:p>
            <w:pPr>
              <w:spacing w:line="560" w:lineRule="exact"/>
              <w:jc w:val="left"/>
              <w:rPr>
                <w:rFonts w:ascii="方正书宋_GBK" w:eastAsia="方正书宋_GBK"/>
              </w:rPr>
            </w:pPr>
            <w:r>
              <w:rPr>
                <w:rFonts w:ascii="方正书宋_GBK" w:eastAsia="方正书宋_GBK"/>
              </w:rPr>
              <w:t>1.</w:t>
            </w:r>
            <w:r>
              <w:rPr>
                <w:rFonts w:hint="eastAsia" w:ascii="方正书宋_GBK" w:eastAsia="方正书宋_GBK"/>
              </w:rPr>
              <w:t>认真贯彻执行国家、省、市有关环境卫生的法律、法规和规定；草拟本市环境卫生管理规定；组织开展环境卫生治理、宣传等活动，提高市民环境卫生意识。</w:t>
            </w:r>
            <w:r>
              <w:rPr>
                <w:rFonts w:ascii="方正书宋_GBK" w:eastAsia="方正书宋_GBK"/>
              </w:rPr>
              <w:t>2.</w:t>
            </w:r>
            <w:r>
              <w:rPr>
                <w:rFonts w:hint="eastAsia" w:ascii="方正书宋_GBK" w:eastAsia="方正书宋_GBK"/>
              </w:rPr>
              <w:t>参与研究制定城市总体规划，负责制定市区环境卫生规划；监督总体规划中环卫设施规划落实情况；负责环境卫生基础设施建设与管理。</w:t>
            </w:r>
            <w:r>
              <w:rPr>
                <w:rFonts w:ascii="方正书宋_GBK" w:eastAsia="方正书宋_GBK"/>
              </w:rPr>
              <w:t>3.</w:t>
            </w:r>
            <w:r>
              <w:rPr>
                <w:rFonts w:hint="eastAsia" w:ascii="方正书宋_GBK" w:eastAsia="方正书宋_GBK"/>
              </w:rPr>
              <w:t>负责对市区主次干道的清扫保洁、垃圾清运、公厕清掏、蚊蝇消杀等工作，并实施监督管理，为市民创造干净、整洁的工作和生活环境。</w:t>
            </w:r>
            <w:r>
              <w:rPr>
                <w:rFonts w:ascii="方正书宋_GBK" w:eastAsia="方正书宋_GBK"/>
              </w:rPr>
              <w:t>4.</w:t>
            </w:r>
            <w:r>
              <w:rPr>
                <w:rFonts w:hint="eastAsia" w:ascii="方正书宋_GBK" w:eastAsia="方正书宋_GBK"/>
              </w:rPr>
              <w:t>组织党政机关、社会各单位、部队、学校落实</w:t>
            </w:r>
            <w:r>
              <w:rPr>
                <w:rFonts w:hint="cs" w:ascii="方正书宋_GBK" w:eastAsia="方正书宋_GBK"/>
              </w:rPr>
              <w:t>“</w:t>
            </w:r>
            <w:r>
              <w:rPr>
                <w:rFonts w:hint="eastAsia" w:ascii="方正书宋_GBK" w:eastAsia="方正书宋_GBK"/>
              </w:rPr>
              <w:t>门前三包</w:t>
            </w:r>
            <w:r>
              <w:rPr>
                <w:rFonts w:hint="cs" w:ascii="方正书宋_GBK" w:eastAsia="方正书宋_GBK"/>
              </w:rPr>
              <w:t>”</w:t>
            </w:r>
            <w:r>
              <w:rPr>
                <w:rFonts w:hint="eastAsia" w:ascii="方正书宋_GBK" w:eastAsia="方正书宋_GBK"/>
              </w:rPr>
              <w:t>责任。</w:t>
            </w:r>
            <w:r>
              <w:rPr>
                <w:rFonts w:ascii="方正书宋_GBK" w:eastAsia="方正书宋_GBK"/>
              </w:rPr>
              <w:t>5.</w:t>
            </w:r>
            <w:r>
              <w:rPr>
                <w:rFonts w:hint="eastAsia" w:ascii="方正书宋_GBK" w:eastAsia="方正书宋_GBK"/>
              </w:rPr>
              <w:t>负责市区生活垃圾、粪便等废弃物的无害化处理。</w:t>
            </w:r>
            <w:r>
              <w:rPr>
                <w:rFonts w:ascii="方正书宋_GBK" w:eastAsia="方正书宋_GBK"/>
              </w:rPr>
              <w:t>6.</w:t>
            </w:r>
            <w:r>
              <w:rPr>
                <w:rFonts w:hint="eastAsia" w:ascii="方正书宋_GBK" w:eastAsia="方正书宋_GBK"/>
              </w:rPr>
              <w:t>负责建</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按照《环卫业务工作管理考核实施细则》的标准，达到街容街貌整洁</w:t>
            </w:r>
          </w:p>
          <w:p>
            <w:pPr>
              <w:spacing w:line="560" w:lineRule="exact"/>
              <w:jc w:val="left"/>
              <w:rPr>
                <w:rFonts w:ascii="方正书宋_GBK" w:eastAsia="方正书宋_GBK"/>
              </w:rPr>
            </w:pPr>
            <w:r>
              <w:rPr>
                <w:rFonts w:hint="eastAsia" w:ascii="方正书宋_GBK" w:eastAsia="方正书宋_GBK"/>
              </w:rPr>
              <w:t>，美化城市，推动和谐发展。</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城区道路清扫保洁</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5021.00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负责城区</w:t>
            </w:r>
            <w:r>
              <w:rPr>
                <w:rFonts w:ascii="方正书宋_GBK" w:eastAsia="方正书宋_GBK"/>
              </w:rPr>
              <w:t>6</w:t>
            </w:r>
            <w:r>
              <w:rPr>
                <w:rFonts w:hint="eastAsia" w:ascii="方正书宋_GBK" w:eastAsia="方正书宋_GBK"/>
              </w:rPr>
              <w:t>米以上主次干道及所辖城中村的清扫保洁工作；门前</w:t>
            </w:r>
            <w:r>
              <w:rPr>
                <w:rFonts w:hint="cs" w:ascii="方正书宋_GBK" w:eastAsia="方正书宋_GBK"/>
              </w:rPr>
              <w:t>“</w:t>
            </w:r>
            <w:r>
              <w:rPr>
                <w:rFonts w:hint="eastAsia" w:ascii="方正书宋_GBK" w:eastAsia="方正书宋_GBK"/>
              </w:rPr>
              <w:t>三包</w:t>
            </w:r>
            <w:r>
              <w:rPr>
                <w:rFonts w:hint="cs" w:ascii="方正书宋_GBK" w:eastAsia="方正书宋_GBK"/>
              </w:rPr>
              <w:t>”</w:t>
            </w:r>
            <w:r>
              <w:rPr>
                <w:rFonts w:hint="eastAsia" w:ascii="方正书宋_GBK" w:eastAsia="方正书宋_GBK"/>
              </w:rPr>
              <w:t>的代扫保洁；垃圾收集和所有果皮箱的管理工作。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城区道路清扫按照道路等级实行全面保洁作业，坚持做到</w:t>
            </w:r>
            <w:r>
              <w:rPr>
                <w:rFonts w:ascii="方正书宋_GBK" w:eastAsia="方正书宋_GBK"/>
              </w:rPr>
              <w:t>"</w:t>
            </w:r>
            <w:r>
              <w:rPr>
                <w:rFonts w:hint="eastAsia" w:ascii="方正书宋_GBK" w:eastAsia="方正书宋_GBK"/>
              </w:rPr>
              <w:t>八无四净</w:t>
            </w:r>
            <w:r>
              <w:rPr>
                <w:rFonts w:ascii="方正书宋_GBK" w:eastAsia="方正书宋_GBK"/>
              </w:rPr>
              <w:t>"</w:t>
            </w:r>
            <w:r>
              <w:rPr>
                <w:rFonts w:hint="eastAsia" w:ascii="方正书宋_GBK" w:eastAsia="方正书宋_GBK"/>
              </w:rPr>
              <w:t>。</w:t>
            </w:r>
          </w:p>
        </w:tc>
        <w:tc>
          <w:tcPr>
            <w:tcW w:w="1417" w:type="dxa"/>
            <w:shd w:val="clear" w:color="auto" w:fill="auto"/>
            <w:vAlign w:val="center"/>
          </w:tcPr>
          <w:p>
            <w:pPr>
              <w:spacing w:line="560" w:lineRule="exact"/>
              <w:jc w:val="left"/>
              <w:rPr>
                <w:rFonts w:ascii="方正书宋_GBK" w:eastAsia="方正书宋_GBK"/>
              </w:rPr>
            </w:pPr>
            <w:r>
              <w:rPr>
                <w:rFonts w:hint="cs" w:ascii="方正书宋_GBK" w:eastAsia="方正书宋_GBK"/>
              </w:rPr>
              <w:t>“</w:t>
            </w:r>
            <w:r>
              <w:rPr>
                <w:rFonts w:hint="eastAsia" w:ascii="方正书宋_GBK" w:eastAsia="方正书宋_GBK"/>
              </w:rPr>
              <w:t>洁净城市</w:t>
            </w:r>
            <w:r>
              <w:rPr>
                <w:rFonts w:hint="cs" w:ascii="方正书宋_GBK" w:eastAsia="方正书宋_GBK"/>
              </w:rPr>
              <w:t>”</w:t>
            </w:r>
            <w:r>
              <w:rPr>
                <w:rFonts w:hint="eastAsia" w:ascii="方正书宋_GBK" w:eastAsia="方正书宋_GBK"/>
              </w:rPr>
              <w:t>占比增长率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机械化清扫完成率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当年新增清扫面积（平方米）</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城区道路清扫保洁完成率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城区垃圾清运管理</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1996.00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负责城区及所辖城中村所有生活垃圾的清运；垃圾中转站和垃圾箱选址、建设、摆放等管理工作。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确保达到生活垃圾</w:t>
            </w:r>
            <w:r>
              <w:rPr>
                <w:rFonts w:hint="cs" w:ascii="方正书宋_GBK" w:eastAsia="方正书宋_GBK"/>
              </w:rPr>
              <w:t>“</w:t>
            </w:r>
            <w:r>
              <w:rPr>
                <w:rFonts w:hint="eastAsia" w:ascii="方正书宋_GBK" w:eastAsia="方正书宋_GBK"/>
              </w:rPr>
              <w:t>日产日清</w:t>
            </w:r>
            <w:r>
              <w:rPr>
                <w:rFonts w:hint="cs" w:ascii="方正书宋_GBK" w:eastAsia="方正书宋_GBK"/>
              </w:rPr>
              <w:t>”</w:t>
            </w:r>
            <w:r>
              <w:rPr>
                <w:rFonts w:hint="eastAsia" w:ascii="方正书宋_GBK" w:eastAsia="方正书宋_GBK"/>
              </w:rPr>
              <w:t>的标准，做到减少环境污染。</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城区垃圾设施、转运设施建设维护完成率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生活垃圾清运完成率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城区公厕管理维护</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2427.00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负责城区公厕的选址、建设、修缮及清掏、保洁、化粪池吸污等工作；对社会各单位厕所实行统一管理，有偿服务。</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水冲厕按建筑标准及使用性质分类管理，最低标准达到</w:t>
            </w:r>
            <w:r>
              <w:rPr>
                <w:rFonts w:hint="cs" w:ascii="方正书宋_GBK" w:eastAsia="方正书宋_GBK"/>
              </w:rPr>
              <w:t>“</w:t>
            </w:r>
            <w:r>
              <w:rPr>
                <w:rFonts w:hint="eastAsia" w:ascii="方正书宋_GBK" w:eastAsia="方正书宋_GBK"/>
              </w:rPr>
              <w:t>八净二全</w:t>
            </w:r>
            <w:r>
              <w:rPr>
                <w:rFonts w:hint="cs" w:ascii="方正书宋_GBK" w:eastAsia="方正书宋_GBK"/>
              </w:rPr>
              <w:t>”</w:t>
            </w:r>
            <w:r>
              <w:rPr>
                <w:rFonts w:hint="eastAsia" w:ascii="方正书宋_GBK" w:eastAsia="方正书宋_GBK"/>
              </w:rPr>
              <w:t>。</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化粪池吸污完成率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公厕管理达标率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城区设施蚊蝇消杀</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30.00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负责城区主次干道、公厕及环卫局所属垃圾场、点蚊蝇消杀工作；对社会各单位实行有偿服务。</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蚊蝇消杀符合标准</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城区设施蚊蝇消杀覆盖率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生活垃圾处理</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15891.00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负责垃圾处理场所有垃圾的处理工作。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从根本上解决积存垃圾问题，真正实现垃圾变废为宝。</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生活垃圾无害化处理率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城区市容环境管理</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8.00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在市综合执法局的业务指导下负责对城区市容环境卫生及城区工程渣土、废弃淤泥的统一管理，依法对施工现场渣土处理实施监督检查和有偿清运服务。</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无乱倒生活垃圾；无乱倒建筑垃圾；无乱倒装饰、装修渣土垃圾。</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城区建筑垃圾管理工作完成率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高铁南广场管理</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200.00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负责制定广场管理处各年度管理维护、预算资金计划；负责京沪高铁廊坊站南广场及站房西侧</w:t>
            </w:r>
            <w:r>
              <w:rPr>
                <w:rFonts w:ascii="方正书宋_GBK" w:eastAsia="方正书宋_GBK"/>
              </w:rPr>
              <w:t>12</w:t>
            </w:r>
            <w:r>
              <w:rPr>
                <w:rFonts w:hint="eastAsia" w:ascii="方正书宋_GBK" w:eastAsia="方正书宋_GBK"/>
              </w:rPr>
              <w:t>米以下穿铁路人行通道范围内设施综合维护管理；负责广场日常秩序管理；配合铁路派出所管理辖区内的治安、秩序及突发事件的紧急处理。</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确保高铁南站广场日常维护正常进行。</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日常维护达标率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市民、乘客满意率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垃圾渗滤液处置</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负责垃圾渗滤液处置中心的经营管理工作；负责垃圾发酵、堆放过程中产生的垃圾渗滤液的收集和处理工作；负责作为生活垃圾焚烧发电厂产生的垃圾渗滤液处理应急设施。</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确保出水水质达到《生活垃圾填埋物污染控制标准》（</w:t>
            </w:r>
            <w:r>
              <w:rPr>
                <w:rFonts w:ascii="方正书宋_GBK" w:eastAsia="方正书宋_GBK"/>
              </w:rPr>
              <w:t>GB/16889-2008</w:t>
            </w:r>
            <w:r>
              <w:rPr>
                <w:rFonts w:hint="eastAsia" w:ascii="方正书宋_GBK" w:eastAsia="方正书宋_GBK"/>
              </w:rPr>
              <w:t>）一级排放标准。</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垃圾渗滤液处理率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城市园林绿化建设管理</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44511.52</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承担城市园林绿化工程项目的设计、施工管理工作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按规定按计划完成绿化工程项目建设</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建设项目前期</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44502.00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办理绿化工程项目环评手续。编制城市道路、游园绿地绿化提升改造等项目可研。绿化工程项目的立项。组织开展绿化工程项目的现场勘察工作。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依法依规完成环评手续，完成可行性研究报告的编制，完成可研评审，完成现场勘察工作。</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勘察工作记录完整性</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环评手续完成率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未办理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可行性研究报告编制完成率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未编制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工程项目的管理</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组织绿化工程项目设计、施工、监理的招投标及有关评审工作，组织园林绿化工程项目的施工管理、工程验收及移交工作。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依法依规组织招投标并完成项目管理。</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招标投标资料完整率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工程的施工管理、验收资料完整率。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安全生产</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9.52</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贯彻执行上级对安全生产工作的指示，对机关及局属各单位安全生产工作进行指导及监督。每月、每季度、重大节假日对局属管辖范围进行安全生产检查。</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确保全年无安全生产事故发生。定期进行安全生产检查并及时记录，对发现的问题及时整改。</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安全生产会议检查次数。</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4</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城区年度绿化计划</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参与拟定城市建设发展规划；负责制定全市城区年度绿化计划；对各（市、区）园林绿化工作进行业务指导和监督。</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按规定、按计划完成园林绿化中、长期规划，完成义务植树及古树名木保护任务。</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城市园林绿化的行业管理</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根据省园林绿化工作计划，研究制定园林绿化年度工作计划，根据总规，编制绿地系统规划</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完成园林绿化年度工作计划的制定，完成绿地系统规划的编制</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绿地系统规划的编制完成率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城市社会绿化活动</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开展城市社会绿化和城市义务植树及其他绿化活动，根据全市绿化工作安排，开展义务植树活动</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开展义务植树活动</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植树活动计划完成率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负责古树名木的保护</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根据国家、省、市相关政策法规开展古树名木保护工作对普查到的古树名木进行登记，对古树名木进行挂牌保护，对全市建成区范围内古树名木保护情况进行督导检查</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古树名木保护率达到</w:t>
            </w:r>
            <w:r>
              <w:rPr>
                <w:rFonts w:ascii="方正书宋_GBK" w:eastAsia="方正书宋_GBK"/>
              </w:rPr>
              <w:t>100%</w:t>
            </w:r>
            <w:r>
              <w:rPr>
                <w:rFonts w:hint="eastAsia" w:ascii="方正书宋_GBK" w:eastAsia="方正书宋_GBK"/>
              </w:rPr>
              <w:t>，古树名木登记率达到</w:t>
            </w:r>
            <w:r>
              <w:rPr>
                <w:rFonts w:ascii="方正书宋_GBK" w:eastAsia="方正书宋_GBK"/>
              </w:rPr>
              <w:t>100%</w:t>
            </w:r>
            <w:r>
              <w:rPr>
                <w:rFonts w:hint="eastAsia" w:ascii="方正书宋_GBK" w:eastAsia="方正书宋_GBK"/>
              </w:rPr>
              <w:t>，古树名木挂牌保护率达到</w:t>
            </w:r>
            <w:r>
              <w:rPr>
                <w:rFonts w:ascii="方正书宋_GBK" w:eastAsia="方正书宋_GBK"/>
              </w:rPr>
              <w:t>100%</w:t>
            </w:r>
            <w:r>
              <w:rPr>
                <w:rFonts w:hint="eastAsia" w:ascii="方正书宋_GBK" w:eastAsia="方正书宋_GBK"/>
              </w:rPr>
              <w:t>，全市建成区范围内古树名木保护情况进行督导检查</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每年抢救濒危和病弱的古树名木数量</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20</w:t>
            </w:r>
            <w:r>
              <w:rPr>
                <w:rFonts w:hint="eastAsia" w:ascii="方正书宋_GBK" w:eastAsia="方正书宋_GBK"/>
              </w:rPr>
              <w:t>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10</w:t>
            </w:r>
            <w:r>
              <w:rPr>
                <w:rFonts w:hint="eastAsia" w:ascii="方正书宋_GBK" w:eastAsia="方正书宋_GBK"/>
              </w:rPr>
              <w:t>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株</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5</w:t>
            </w:r>
            <w:r>
              <w:rPr>
                <w:rFonts w:hint="eastAsia" w:ascii="方正书宋_GBK" w:eastAsia="方正书宋_GBK"/>
              </w:rPr>
              <w:t>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古树名木进行挂牌保护率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古树名木登记率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指导和监督县（市、区）园林绿化工作</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根据国家、省、市相关政策法规对县（市、区）园林绿化工作进行业务指导和监督结合年度工作计划对县（市、区）园林绿化任务完成情况进行督导检查</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对县（市、区）园林绿化工作进行业务指导和监督</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督导检查完成率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指导各单位的年度生产和经营计划并监督执行</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指导各单位的年度生产和经营计划并监督执行。</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完成年度园林绿地养护管理任务</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园林绿地养护管理</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对局属绿地日常养护管理进行日常检查、抽查、主要包括植物修剪、浇水、病虫害防治、设施维护方面</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植物修剪合理，土壤墒情良好，植物生长健壮</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植物保存率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修剪合格率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设施完好率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卫生保洁率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病虫害防治率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园林政务管理</w:t>
            </w:r>
          </w:p>
        </w:tc>
        <w:tc>
          <w:tcPr>
            <w:tcW w:w="12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9.00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提升机关及行业信息化水平，保障机关办公网络、门户网站及各类业务系统安全稳定运行；加大信息宣传力度，创造良好舆论氛围。规范审批行为，推进政务公开，增加服务意识，提高工作效率。组织各县（市）、区上报统计数据。</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完成机关各项事务性工作，保证机关工作正常运行，为职工提供良好的工作环境和后勤保障。</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综合事务管理</w:t>
            </w:r>
          </w:p>
        </w:tc>
        <w:tc>
          <w:tcPr>
            <w:tcW w:w="12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9.00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提升机关及行业信息化水平，保障机关办公网络、门户网站及各类业务系统安全稳定运行；加大信息宣传力度，创造良好舆论氛围。组织文娱活动，提高干部职工文化和身体素质</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推进园林绿化建设、建设系统综合管理等综合事务工作，保证行政工作高效有序运行。完成机关各项事务性工作，保证机关工作正常运行，为职工提供良好的工作环境和后勤保障。</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综合事务管理工作完成率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园林绿化建设维护</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8664.68</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城市绿地、公园、风景名胜区的管理和古树名木的保护；占用城市园林、绿地和树木伐移的审批，参与对城市重点建设项目的园林绿化设计和绿地率的审核认定；对市属园林绿化工程的建设进行管理监督；指导市区全民绿化工作。</w:t>
            </w:r>
            <w:r>
              <w:rPr>
                <w:rFonts w:ascii="方正书宋_GBK" w:eastAsia="方正书宋_GBK"/>
              </w:rPr>
              <w:t xml:space="preserve">          </w:t>
            </w:r>
            <w:r>
              <w:rPr>
                <w:rFonts w:hint="eastAsia" w:ascii="方正书宋_GBK" w:eastAsia="方正书宋_GBK"/>
              </w:rPr>
              <w:t>做好绿化养护、设备设施的维护维修工作；加大安全保卫及日常保洁工作；按照市里要求，以多种形式开展节日庆典活动，充分发挥服务社会、服务市民以及文明窗口载体的作用。</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按市里目标任务完成绿化及维护工作，美化城乡环境。使时代广场成为一个集休闲、娱乐、健身为一体的综合型城市广场</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园林绿化建设维护</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8664.68</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做好绿化养护、设备设施的维护维修工作</w:t>
            </w:r>
            <w:r>
              <w:rPr>
                <w:rFonts w:ascii="方正书宋_GBK" w:eastAsia="方正书宋_GBK"/>
              </w:rPr>
              <w:t>,</w:t>
            </w:r>
            <w:r>
              <w:rPr>
                <w:rFonts w:hint="eastAsia" w:ascii="方正书宋_GBK" w:eastAsia="方正书宋_GBK"/>
              </w:rPr>
              <w:t>包括植物修剪、浇水、病虫害防治以及设备设施日常养护管理工作；加大安全保卫及日常保洁工作；以多种形式开展节日庆典活动，充分发挥服务社会、服务市民以及文明窗口载体的作用。</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植物修剪合理，生长健壮；设备设施完好，使用正常。</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日常管理效率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卫生保洁率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城市基础设置项目管理</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负责城市基础设施项目的立项、招投标、预决算、施工、组织管理等工作。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按规定按计划完成城市基础设施工程项目建设</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建设项目前期</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办理工程项目环评手续。编制项目可研。工程项目的立项。组织开展工程项目的现场勘察工作。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依法依规完成环评手续，完成可行性研究报告的编制，完成可研评审，完成现场勘察工作。</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勘察工作记录完整性</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可研评审通过率。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未开展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可行性研究报告编制完成率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未编制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环评手续完成率</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未办理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工程项目的管理</w:t>
            </w:r>
          </w:p>
        </w:tc>
        <w:tc>
          <w:tcPr>
            <w:tcW w:w="1276" w:type="dxa"/>
            <w:vMerge w:val="restart"/>
            <w:shd w:val="clear" w:color="auto" w:fill="auto"/>
            <w:vAlign w:val="center"/>
          </w:tcPr>
          <w:p>
            <w:pPr>
              <w:spacing w:line="560" w:lineRule="exact"/>
              <w:jc w:val="left"/>
              <w:rPr>
                <w:rFonts w:ascii="方正书宋_GBK" w:eastAsia="方正书宋_GBK"/>
              </w:rPr>
            </w:pP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组织工程项目设计、施工、监理的招投标及有关评审工作，组织工程项目的施工管理、工程验收及移交工作。</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依法依规组织招投标并完成项目管理。</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招标投标资料完整率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工程的施工管理、验收资料完整率。</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安全生产</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贯彻执行上级对安全生产工作的指示，对机关及局属各单位安全生产工作进行指导及监督。每月、每季度、重大节假日对局属管辖范围进行安全生产检查。</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确保全年无安全生产事故发生。定期进行安全生产检查并及时记录，对发现的问题及时整改。</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安全生产会议检查次数。</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4</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融资管理</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融资事务管理</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按规定、按计划完成还本付息等工作。</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贷款管理</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按合同、协议要求按时、足额还本付息</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保证准时偿还贷款本息。</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贷款偿还情况</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市政设施建设维护</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77219.25</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负责廊坊市市区道路、桥梁、排水、泵站、路灯及道路景观亮化等市政设施的建设和维修、养护、管理工作，防汛排水工作，城市数字化管理、市长热线以及对污水处理厂的监督管理和污水处理费收缴工作。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按照市里目标任务</w:t>
            </w:r>
            <w:r>
              <w:rPr>
                <w:rFonts w:ascii="方正书宋_GBK" w:eastAsia="方正书宋_GBK"/>
              </w:rPr>
              <w:t>:</w:t>
            </w:r>
          </w:p>
          <w:p>
            <w:pPr>
              <w:spacing w:line="560" w:lineRule="exact"/>
              <w:jc w:val="left"/>
              <w:rPr>
                <w:rFonts w:ascii="方正书宋_GBK" w:eastAsia="方正书宋_GBK"/>
              </w:rPr>
            </w:pPr>
            <w:r>
              <w:rPr>
                <w:rFonts w:hint="eastAsia" w:ascii="方正书宋_GBK" w:eastAsia="方正书宋_GBK"/>
              </w:rPr>
              <w:t>一是完成各项市政工程建设工作。</w:t>
            </w:r>
          </w:p>
          <w:p>
            <w:pPr>
              <w:spacing w:line="560" w:lineRule="exact"/>
              <w:jc w:val="left"/>
              <w:rPr>
                <w:rFonts w:ascii="方正书宋_GBK" w:eastAsia="方正书宋_GBK"/>
              </w:rPr>
            </w:pPr>
            <w:r>
              <w:rPr>
                <w:rFonts w:hint="eastAsia" w:ascii="方正书宋_GBK" w:eastAsia="方正书宋_GBK"/>
              </w:rPr>
              <w:t>二是做好道路、桥梁、排水、泵站设施巡查、维修和养护工作，突出抓好路灯、景观灯检修，保证亮灯率达到</w:t>
            </w:r>
            <w:r>
              <w:rPr>
                <w:rFonts w:ascii="方正书宋_GBK" w:eastAsia="方正书宋_GBK"/>
              </w:rPr>
              <w:t>98%</w:t>
            </w:r>
            <w:r>
              <w:rPr>
                <w:rFonts w:hint="eastAsia" w:ascii="方正书宋_GBK" w:eastAsia="方正书宋_GBK"/>
              </w:rPr>
              <w:t>以上，市政设施完好率达到</w:t>
            </w:r>
            <w:r>
              <w:rPr>
                <w:rFonts w:ascii="方正书宋_GBK" w:eastAsia="方正书宋_GBK"/>
              </w:rPr>
              <w:t>97%</w:t>
            </w:r>
            <w:r>
              <w:rPr>
                <w:rFonts w:hint="eastAsia" w:ascii="方正书宋_GBK" w:eastAsia="方正书宋_GBK"/>
              </w:rPr>
              <w:t>，完善设施使用功能。</w:t>
            </w:r>
          </w:p>
          <w:p>
            <w:pPr>
              <w:spacing w:line="560" w:lineRule="exact"/>
              <w:jc w:val="left"/>
              <w:rPr>
                <w:rFonts w:ascii="方正书宋_GBK" w:eastAsia="方正书宋_GBK"/>
              </w:rPr>
            </w:pPr>
            <w:r>
              <w:rPr>
                <w:rFonts w:hint="eastAsia" w:ascii="方正书宋_GBK" w:eastAsia="方正书宋_GBK"/>
              </w:rPr>
              <w:t>三是做好城区防汛排水工作，完成各项排水任务，确保城市安全度汛。</w:t>
            </w:r>
          </w:p>
          <w:p>
            <w:pPr>
              <w:spacing w:line="560" w:lineRule="exact"/>
              <w:jc w:val="left"/>
              <w:rPr>
                <w:rFonts w:ascii="方正书宋_GBK" w:eastAsia="方正书宋_GBK"/>
              </w:rPr>
            </w:pPr>
            <w:r>
              <w:rPr>
                <w:rFonts w:hint="eastAsia" w:ascii="方正书宋_GBK" w:eastAsia="方正书宋_GBK"/>
              </w:rPr>
              <w:t>四是做好污水处理厂的监督管理工作，保证处理率达标和出水水质达标。</w:t>
            </w:r>
          </w:p>
          <w:p>
            <w:pPr>
              <w:spacing w:line="560" w:lineRule="exact"/>
              <w:jc w:val="left"/>
              <w:rPr>
                <w:rFonts w:ascii="方正书宋_GBK" w:eastAsia="方正书宋_GBK"/>
              </w:rPr>
            </w:pPr>
            <w:r>
              <w:rPr>
                <w:rFonts w:hint="eastAsia" w:ascii="方正书宋_GBK" w:eastAsia="方正书宋_GBK"/>
              </w:rPr>
              <w:t>五是完成自备水源单位的污水处理费收缴。</w:t>
            </w:r>
            <w:r>
              <w:rPr>
                <w:rFonts w:ascii="方正书宋_GBK" w:eastAsia="方正书宋_GBK"/>
              </w:rPr>
              <w:t xml:space="preserve"> </w:t>
            </w:r>
            <w:r>
              <w:rPr>
                <w:rFonts w:hint="eastAsia" w:ascii="方正书宋_GBK" w:eastAsia="方正书宋_GBK"/>
              </w:rPr>
              <w:t>六是负责便民服务岛的维修与管理。</w:t>
            </w:r>
          </w:p>
        </w:tc>
        <w:tc>
          <w:tcPr>
            <w:tcW w:w="1417" w:type="dxa"/>
            <w:shd w:val="clear" w:color="auto" w:fill="auto"/>
            <w:vAlign w:val="center"/>
          </w:tcPr>
          <w:p>
            <w:pPr>
              <w:spacing w:line="560" w:lineRule="exact"/>
              <w:jc w:val="left"/>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市政工程建设</w:t>
            </w:r>
          </w:p>
        </w:tc>
        <w:tc>
          <w:tcPr>
            <w:tcW w:w="1276" w:type="dxa"/>
            <w:shd w:val="clear" w:color="auto" w:fill="auto"/>
            <w:vAlign w:val="center"/>
          </w:tcPr>
          <w:p>
            <w:pPr>
              <w:spacing w:line="560" w:lineRule="exact"/>
              <w:jc w:val="left"/>
              <w:rPr>
                <w:rFonts w:ascii="方正书宋_GBK" w:eastAsia="方正书宋_GBK"/>
              </w:rPr>
            </w:pPr>
            <w:r>
              <w:rPr>
                <w:rFonts w:ascii="方正书宋_GBK" w:eastAsia="方正书宋_GBK"/>
              </w:rPr>
              <w:t>74892.25</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按照市里各项目标任务，完成各项市政工程的建设工作。</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根据廊坊城市发展实际需要，按照京津冀一体化总体战略部署，推进各项市政设施建设，完善设施功能。</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市政设施建设完成率（</w:t>
            </w:r>
            <w:r>
              <w:rPr>
                <w:rFonts w:ascii="方正书宋_GBK" w:eastAsia="方正书宋_GBK"/>
              </w:rPr>
              <w:t>%</w:t>
            </w:r>
            <w:r>
              <w:rPr>
                <w:rFonts w:hint="eastAsia"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市政设施维修、养护</w:t>
            </w:r>
          </w:p>
        </w:tc>
        <w:tc>
          <w:tcPr>
            <w:tcW w:w="1276" w:type="dxa"/>
            <w:vMerge w:val="restart"/>
            <w:shd w:val="clear" w:color="auto" w:fill="auto"/>
            <w:vAlign w:val="center"/>
          </w:tcPr>
          <w:p>
            <w:pPr>
              <w:spacing w:line="560" w:lineRule="exact"/>
              <w:jc w:val="left"/>
              <w:rPr>
                <w:rFonts w:ascii="方正书宋_GBK" w:eastAsia="方正书宋_GBK"/>
              </w:rPr>
            </w:pPr>
            <w:r>
              <w:rPr>
                <w:rFonts w:ascii="方正书宋_GBK" w:eastAsia="方正书宋_GBK"/>
              </w:rPr>
              <w:t>2277.00</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做好道路、桥梁、排水、泵站设施及路灯、景观灯亮化设施的维修、养护工作。保证亮灯率达到</w:t>
            </w:r>
            <w:r>
              <w:rPr>
                <w:rFonts w:ascii="方正书宋_GBK" w:eastAsia="方正书宋_GBK"/>
              </w:rPr>
              <w:t>98%</w:t>
            </w:r>
            <w:r>
              <w:rPr>
                <w:rFonts w:hint="eastAsia" w:ascii="方正书宋_GBK" w:eastAsia="方正书宋_GBK"/>
              </w:rPr>
              <w:t>以上，设施完好率达到</w:t>
            </w:r>
            <w:r>
              <w:rPr>
                <w:rFonts w:ascii="方正书宋_GBK" w:eastAsia="方正书宋_GBK"/>
              </w:rPr>
              <w:t>97%</w:t>
            </w:r>
            <w:r>
              <w:rPr>
                <w:rFonts w:hint="eastAsia" w:ascii="方正书宋_GBK" w:eastAsia="方正书宋_GBK"/>
              </w:rPr>
              <w:t>，确保各项设施功能完善。</w:t>
            </w:r>
          </w:p>
        </w:tc>
        <w:tc>
          <w:tcPr>
            <w:tcW w:w="2976" w:type="dxa"/>
            <w:vMerge w:val="restart"/>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w:t>
            </w:r>
            <w:r>
              <w:rPr>
                <w:rFonts w:hint="cs" w:ascii="方正书宋_GBK" w:eastAsia="方正书宋_GBK"/>
              </w:rPr>
              <w:t>“</w:t>
            </w:r>
            <w:r>
              <w:rPr>
                <w:rFonts w:hint="eastAsia" w:ascii="方正书宋_GBK" w:eastAsia="方正书宋_GBK"/>
              </w:rPr>
              <w:t>道路平整、排水畅通、路灯明亮</w:t>
            </w:r>
            <w:r>
              <w:rPr>
                <w:rFonts w:hint="cs" w:ascii="方正书宋_GBK" w:eastAsia="方正书宋_GBK"/>
              </w:rPr>
              <w:t>”</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市政设施完好率（</w:t>
            </w:r>
            <w:r>
              <w:rPr>
                <w:rFonts w:ascii="方正书宋_GBK" w:eastAsia="方正书宋_GBK"/>
              </w:rPr>
              <w:t>%</w:t>
            </w:r>
            <w:r>
              <w:rPr>
                <w:rFonts w:hint="eastAsia"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c>
          <w:tcPr>
            <w:tcW w:w="737" w:type="dxa"/>
            <w:shd w:val="clear" w:color="auto" w:fill="auto"/>
            <w:vAlign w:val="center"/>
          </w:tcPr>
          <w:p>
            <w:pPr>
              <w:spacing w:line="560" w:lineRule="exact"/>
              <w:jc w:val="center"/>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pPr>
              <w:spacing w:line="560" w:lineRule="exact"/>
              <w:jc w:val="left"/>
              <w:rPr>
                <w:rFonts w:ascii="方正书宋_GBK" w:eastAsia="方正书宋_GBK"/>
                <w:b/>
              </w:rPr>
            </w:pPr>
          </w:p>
        </w:tc>
        <w:tc>
          <w:tcPr>
            <w:tcW w:w="12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2976" w:type="dxa"/>
            <w:vMerge w:val="continue"/>
            <w:shd w:val="clear" w:color="auto" w:fill="auto"/>
            <w:vAlign w:val="center"/>
          </w:tcPr>
          <w:p>
            <w:pPr>
              <w:spacing w:line="560" w:lineRule="exact"/>
              <w:jc w:val="left"/>
              <w:rPr>
                <w:rFonts w:ascii="方正书宋_GBK" w:eastAsia="方正书宋_GBK"/>
              </w:rPr>
            </w:pP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亮灯率（</w:t>
            </w:r>
            <w:r>
              <w:rPr>
                <w:rFonts w:ascii="方正书宋_GBK" w:eastAsia="方正书宋_GBK"/>
              </w:rPr>
              <w:t>%</w:t>
            </w:r>
            <w:r>
              <w:rPr>
                <w:rFonts w:hint="eastAsia"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防汛排水</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按照市城区防汛指挥部要求，完成各项防汛排水任务。</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加强防汛设施建设，确保城市安全度汛。</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泵站排水量（立方米）</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市政设施巡查</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做好市政设施巡查工作，及时发现并制止破坏市政设施等违法行为。</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加强法制建设，全力保障设施功能完善。</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数字化按期结案率（</w:t>
            </w:r>
            <w:r>
              <w:rPr>
                <w:rFonts w:ascii="方正书宋_GBK" w:eastAsia="方正书宋_GBK"/>
              </w:rPr>
              <w:t>%</w:t>
            </w:r>
            <w:r>
              <w:rPr>
                <w:rFonts w:hint="eastAsia"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对污水处理厂的监督管理</w:t>
            </w:r>
          </w:p>
        </w:tc>
        <w:tc>
          <w:tcPr>
            <w:tcW w:w="12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50.00</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监督污水处理厂运行情况及过程，记录污水处理总量。</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确保污水处理率达标，保证出水水质达标。</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污水处理量（吨）</w:t>
            </w:r>
            <w:r>
              <w:rPr>
                <w:rFonts w:ascii="方正书宋_GBK" w:eastAsia="方正书宋_GBK"/>
              </w:rPr>
              <w:t xml:space="preserve">    </w:t>
            </w:r>
            <w:r>
              <w:rPr>
                <w:rFonts w:hint="eastAsia" w:ascii="方正书宋_GBK" w:eastAsia="方正书宋_GBK"/>
              </w:rPr>
              <w:t>全年污水处理率（</w:t>
            </w:r>
            <w:r>
              <w:rPr>
                <w:rFonts w:ascii="方正书宋_GBK" w:eastAsia="方正书宋_GBK"/>
              </w:rPr>
              <w:t>%</w:t>
            </w:r>
            <w:r>
              <w:rPr>
                <w:rFonts w:hint="eastAsia" w:ascii="方正书宋_GBK" w:eastAsia="方正书宋_GBK"/>
              </w:rPr>
              <w:t>）</w:t>
            </w:r>
            <w:r>
              <w:rPr>
                <w:rFonts w:ascii="方正书宋_GBK" w:eastAsia="方正书宋_GBK"/>
              </w:rPr>
              <w:t xml:space="preserve">  </w:t>
            </w:r>
            <w:r>
              <w:rPr>
                <w:rFonts w:hint="eastAsia" w:ascii="方正书宋_GBK" w:eastAsia="方正书宋_GBK"/>
              </w:rPr>
              <w:t>出水水质是否合格</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污水处理费收缴</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负责收缴自备井水源的污水处理费收缴。</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按照相关标准收缴污水处理费</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完成收缴污水处理费（元）</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27" w:hRule="atLeast"/>
          <w:jc w:val="center"/>
        </w:trPr>
        <w:tc>
          <w:tcPr>
            <w:tcW w:w="2341" w:type="dxa"/>
            <w:shd w:val="clear" w:color="auto" w:fill="auto"/>
            <w:vAlign w:val="center"/>
          </w:tcPr>
          <w:p>
            <w:pPr>
              <w:spacing w:line="560" w:lineRule="exact"/>
              <w:jc w:val="left"/>
              <w:rPr>
                <w:rFonts w:ascii="方正书宋_GBK" w:eastAsia="方正书宋_GBK"/>
                <w:b/>
              </w:rPr>
            </w:pPr>
            <w:r>
              <w:rPr>
                <w:rFonts w:hint="eastAsia" w:ascii="方正书宋_GBK" w:eastAsia="方正书宋_GBK"/>
                <w:b/>
              </w:rPr>
              <w:t>　　便民服务岛的维护与管理</w:t>
            </w:r>
          </w:p>
        </w:tc>
        <w:tc>
          <w:tcPr>
            <w:tcW w:w="1276" w:type="dxa"/>
            <w:shd w:val="clear" w:color="auto" w:fill="auto"/>
            <w:vAlign w:val="center"/>
          </w:tcPr>
          <w:p>
            <w:pPr>
              <w:spacing w:line="560" w:lineRule="exact"/>
              <w:jc w:val="left"/>
              <w:rPr>
                <w:rFonts w:ascii="方正书宋_GBK" w:eastAsia="方正书宋_GBK"/>
              </w:rPr>
            </w:pP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负责市区</w:t>
            </w:r>
            <w:r>
              <w:rPr>
                <w:rFonts w:ascii="方正书宋_GBK" w:eastAsia="方正书宋_GBK"/>
              </w:rPr>
              <w:t>41</w:t>
            </w:r>
            <w:r>
              <w:rPr>
                <w:rFonts w:hint="eastAsia" w:ascii="方正书宋_GBK" w:eastAsia="方正书宋_GBK"/>
              </w:rPr>
              <w:t>座便民服务岛的日常管理、维护</w:t>
            </w:r>
          </w:p>
        </w:tc>
        <w:tc>
          <w:tcPr>
            <w:tcW w:w="2976"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确保便民服务岛正常运行</w:t>
            </w:r>
          </w:p>
        </w:tc>
        <w:tc>
          <w:tcPr>
            <w:tcW w:w="1417" w:type="dxa"/>
            <w:shd w:val="clear" w:color="auto" w:fill="auto"/>
            <w:vAlign w:val="center"/>
          </w:tcPr>
          <w:p>
            <w:pPr>
              <w:spacing w:line="560" w:lineRule="exact"/>
              <w:jc w:val="left"/>
              <w:rPr>
                <w:rFonts w:ascii="方正书宋_GBK" w:eastAsia="方正书宋_GBK"/>
              </w:rPr>
            </w:pPr>
            <w:r>
              <w:rPr>
                <w:rFonts w:hint="eastAsia" w:ascii="方正书宋_GBK" w:eastAsia="方正书宋_GBK"/>
              </w:rPr>
              <w:t>市政设施建设完好率（</w:t>
            </w:r>
            <w:r>
              <w:rPr>
                <w:rFonts w:ascii="方正书宋_GBK" w:eastAsia="方正书宋_GBK"/>
              </w:rPr>
              <w:t>%</w:t>
            </w:r>
            <w:r>
              <w:rPr>
                <w:rFonts w:hint="eastAsia" w:ascii="方正书宋_GBK" w:eastAsia="方正书宋_GBK"/>
              </w:rPr>
              <w:t>）</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85%</w:t>
            </w:r>
          </w:p>
        </w:tc>
        <w:tc>
          <w:tcPr>
            <w:tcW w:w="737" w:type="dxa"/>
            <w:shd w:val="clear" w:color="auto" w:fill="auto"/>
            <w:vAlign w:val="center"/>
          </w:tcPr>
          <w:p>
            <w:pPr>
              <w:spacing w:line="560" w:lineRule="exact"/>
              <w:jc w:val="center"/>
              <w:rPr>
                <w:rFonts w:ascii="方正书宋_GBK" w:eastAsia="方正书宋_GBK"/>
              </w:rPr>
            </w:pPr>
            <w:r>
              <w:rPr>
                <w:rFonts w:hint="eastAsia" w:ascii="方正书宋_GBK" w:eastAsia="方正书宋_GBK"/>
              </w:rPr>
              <w:t>≥</w:t>
            </w:r>
            <w:r>
              <w:rPr>
                <w:rFonts w:ascii="方正书宋_GBK" w:eastAsia="方正书宋_GBK"/>
              </w:rPr>
              <w:t>65%</w:t>
            </w:r>
          </w:p>
        </w:tc>
        <w:tc>
          <w:tcPr>
            <w:tcW w:w="737" w:type="dxa"/>
            <w:shd w:val="clear" w:color="auto" w:fill="auto"/>
            <w:vAlign w:val="center"/>
          </w:tcPr>
          <w:p>
            <w:pPr>
              <w:spacing w:line="560" w:lineRule="exact"/>
              <w:jc w:val="center"/>
              <w:rPr>
                <w:rFonts w:ascii="方正书宋_GBK" w:eastAsia="方正书宋_GBK"/>
              </w:rPr>
            </w:pPr>
            <w:r>
              <w:rPr>
                <w:rFonts w:ascii="方正书宋_GBK" w:eastAsia="方正书宋_GBK"/>
              </w:rPr>
              <w:t>&lt;55%</w:t>
            </w:r>
          </w:p>
        </w:tc>
      </w:tr>
    </w:tbl>
    <w:p>
      <w:pPr>
        <w:autoSpaceDE w:val="0"/>
        <w:autoSpaceDN w:val="0"/>
        <w:adjustRightInd w:val="0"/>
        <w:spacing w:line="560" w:lineRule="exact"/>
        <w:ind w:left="200"/>
        <w:jc w:val="left"/>
        <w:rPr>
          <w:rFonts w:ascii="宋体" w:eastAsia="宋体" w:cs="宋体"/>
          <w:kern w:val="0"/>
          <w:sz w:val="18"/>
          <w:szCs w:val="18"/>
          <w:lang w:val="zh-CN"/>
        </w:rPr>
      </w:pPr>
    </w:p>
    <w:p>
      <w:pPr>
        <w:autoSpaceDE w:val="0"/>
        <w:autoSpaceDN w:val="0"/>
        <w:adjustRightInd w:val="0"/>
        <w:spacing w:line="560" w:lineRule="exact"/>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六、政府采购预算情况</w:t>
      </w:r>
    </w:p>
    <w:p>
      <w:pPr>
        <w:ind w:firstLine="630"/>
        <w:outlineLvl w:val="0"/>
        <w:rPr>
          <w:rFonts w:ascii="仿宋" w:hAnsi="仿宋" w:eastAsia="仿宋"/>
          <w:sz w:val="32"/>
          <w:szCs w:val="32"/>
        </w:rPr>
      </w:pPr>
      <w:r>
        <w:rPr>
          <w:rFonts w:ascii="仿宋" w:hAnsi="仿宋" w:eastAsia="仿宋"/>
          <w:sz w:val="32"/>
          <w:szCs w:val="32"/>
        </w:rPr>
        <w:t>201</w:t>
      </w:r>
      <w:r>
        <w:rPr>
          <w:rFonts w:hint="eastAsia" w:ascii="仿宋" w:hAnsi="仿宋" w:eastAsia="仿宋"/>
          <w:sz w:val="32"/>
          <w:szCs w:val="32"/>
        </w:rPr>
        <w:t>8年，我部门安排政府采购预算</w:t>
      </w:r>
      <w:r>
        <w:rPr>
          <w:rFonts w:ascii="仿宋" w:hAnsi="仿宋" w:eastAsia="仿宋"/>
          <w:sz w:val="32"/>
          <w:szCs w:val="32"/>
        </w:rPr>
        <w:t>10410.00</w:t>
      </w:r>
      <w:r>
        <w:rPr>
          <w:rFonts w:hint="eastAsia" w:ascii="仿宋" w:hAnsi="仿宋" w:eastAsia="仿宋"/>
          <w:sz w:val="32"/>
          <w:szCs w:val="32"/>
        </w:rPr>
        <w:t>万元，具体内容见下表。</w:t>
      </w:r>
    </w:p>
    <w:p>
      <w:pPr>
        <w:jc w:val="center"/>
        <w:outlineLvl w:val="0"/>
        <w:rPr>
          <w:rFonts w:ascii="仿宋_GB2312" w:eastAsia="仿宋_GB2312" w:cs="Times New Roman"/>
          <w:b/>
          <w:sz w:val="32"/>
        </w:rPr>
      </w:pPr>
      <w:bookmarkStart w:id="1" w:name="_Toc471398468"/>
      <w:r>
        <w:rPr>
          <w:rFonts w:ascii="Times New Roman" w:hAnsi="Times New Roman" w:eastAsia="方正仿宋_GBK" w:cs="Times New Roman"/>
          <w:sz w:val="32"/>
          <w:szCs w:val="24"/>
        </w:rPr>
        <w:t xml:space="preserve"> </w:t>
      </w:r>
      <w:r>
        <w:rPr>
          <w:rFonts w:hint="eastAsia" w:ascii="仿宋_GB2312" w:hAnsi="黑体" w:eastAsia="仿宋_GB2312" w:cs="Times New Roman"/>
          <w:sz w:val="32"/>
          <w:szCs w:val="32"/>
        </w:rPr>
        <w:t xml:space="preserve"> </w:t>
      </w:r>
      <w:bookmarkEnd w:id="1"/>
      <w:bookmarkStart w:id="2" w:name="_Toc504489153"/>
      <w:r>
        <w:rPr>
          <w:rFonts w:hint="eastAsia" w:ascii="仿宋_GB2312" w:eastAsia="仿宋_GB2312" w:cs="Times New Roman"/>
          <w:b/>
          <w:sz w:val="32"/>
        </w:rPr>
        <w:t>部门政府采购预算</w:t>
      </w:r>
      <w:bookmarkEnd w:id="2"/>
    </w:p>
    <w:tbl>
      <w:tblPr>
        <w:tblStyle w:val="7"/>
        <w:tblW w:w="14568"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4"/>
        <w:gridCol w:w="1008"/>
        <w:gridCol w:w="842"/>
        <w:gridCol w:w="1349"/>
        <w:gridCol w:w="641"/>
        <w:gridCol w:w="883"/>
        <w:gridCol w:w="1006"/>
        <w:gridCol w:w="1063"/>
        <w:gridCol w:w="1063"/>
        <w:gridCol w:w="883"/>
        <w:gridCol w:w="1006"/>
        <w:gridCol w:w="848"/>
        <w:gridCol w:w="862"/>
        <w:gridCol w:w="79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8053" w:type="dxa"/>
            <w:gridSpan w:val="7"/>
            <w:tcBorders>
              <w:top w:val="single" w:color="FFFFFF" w:sz="6" w:space="0"/>
              <w:left w:val="single" w:color="FFFFFF" w:sz="6" w:space="0"/>
              <w:right w:val="single" w:color="FFFFFF" w:sz="6" w:space="0"/>
            </w:tcBorders>
            <w:shd w:val="clear" w:color="auto" w:fill="auto"/>
            <w:vAlign w:val="center"/>
          </w:tcPr>
          <w:p>
            <w:pPr>
              <w:spacing w:line="300" w:lineRule="exact"/>
              <w:jc w:val="left"/>
              <w:rPr>
                <w:rFonts w:ascii="仿宋_GB2312" w:eastAsia="仿宋_GB2312" w:cs="Times New Roman"/>
                <w:sz w:val="24"/>
              </w:rPr>
            </w:pPr>
            <w:r>
              <w:rPr>
                <w:rFonts w:ascii="仿宋_GB2312" w:eastAsia="仿宋_GB2312" w:cs="Times New Roman"/>
                <w:sz w:val="24"/>
              </w:rPr>
              <w:t>601</w:t>
            </w:r>
            <w:r>
              <w:rPr>
                <w:rFonts w:hint="eastAsia" w:ascii="仿宋_GB2312" w:eastAsia="仿宋_GB2312" w:cs="Times New Roman"/>
                <w:sz w:val="24"/>
              </w:rPr>
              <w:t>廊坊市建设局</w:t>
            </w:r>
          </w:p>
        </w:tc>
        <w:tc>
          <w:tcPr>
            <w:tcW w:w="6515" w:type="dxa"/>
            <w:gridSpan w:val="7"/>
            <w:tcBorders>
              <w:top w:val="single" w:color="FFFFFF" w:sz="6" w:space="0"/>
              <w:left w:val="single" w:color="FFFFFF" w:sz="6" w:space="0"/>
              <w:right w:val="single" w:color="FFFFFF" w:sz="6" w:space="0"/>
            </w:tcBorders>
            <w:shd w:val="clear" w:color="auto" w:fill="auto"/>
            <w:vAlign w:val="center"/>
          </w:tcPr>
          <w:p>
            <w:pPr>
              <w:spacing w:line="300" w:lineRule="exact"/>
              <w:jc w:val="right"/>
              <w:rPr>
                <w:rFonts w:ascii="仿宋_GB2312" w:eastAsia="仿宋_GB2312" w:cs="Times New Roman"/>
                <w:sz w:val="24"/>
              </w:rPr>
            </w:pPr>
            <w:r>
              <w:rPr>
                <w:rFonts w:hint="eastAsia" w:ascii="仿宋_GB2312" w:eastAsia="仿宋_GB2312" w:cs="Times New Roman"/>
                <w:sz w:val="24"/>
              </w:rPr>
              <w:t>单位：万元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3332" w:type="dxa"/>
            <w:gridSpan w:val="2"/>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政府采购项目来源</w:t>
            </w:r>
          </w:p>
        </w:tc>
        <w:tc>
          <w:tcPr>
            <w:tcW w:w="842"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采购物品名称</w:t>
            </w:r>
          </w:p>
        </w:tc>
        <w:tc>
          <w:tcPr>
            <w:tcW w:w="1349"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政府采购目录序号</w:t>
            </w:r>
          </w:p>
        </w:tc>
        <w:tc>
          <w:tcPr>
            <w:tcW w:w="641"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数量  单位</w:t>
            </w:r>
          </w:p>
        </w:tc>
        <w:tc>
          <w:tcPr>
            <w:tcW w:w="883"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数量</w:t>
            </w:r>
          </w:p>
        </w:tc>
        <w:tc>
          <w:tcPr>
            <w:tcW w:w="1006"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单价</w:t>
            </w:r>
          </w:p>
        </w:tc>
        <w:tc>
          <w:tcPr>
            <w:tcW w:w="6515" w:type="dxa"/>
            <w:gridSpan w:val="7"/>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政府采购金额</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2324"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项目名称</w:t>
            </w:r>
          </w:p>
        </w:tc>
        <w:tc>
          <w:tcPr>
            <w:tcW w:w="1008"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预算资金</w:t>
            </w:r>
          </w:p>
        </w:tc>
        <w:tc>
          <w:tcPr>
            <w:tcW w:w="842" w:type="dxa"/>
            <w:vMerge w:val="continue"/>
            <w:shd w:val="clear" w:color="auto" w:fill="auto"/>
            <w:vAlign w:val="center"/>
          </w:tcPr>
          <w:p/>
        </w:tc>
        <w:tc>
          <w:tcPr>
            <w:tcW w:w="1349" w:type="dxa"/>
            <w:vMerge w:val="continue"/>
            <w:shd w:val="clear" w:color="auto" w:fill="auto"/>
            <w:vAlign w:val="center"/>
          </w:tcPr>
          <w:p/>
        </w:tc>
        <w:tc>
          <w:tcPr>
            <w:tcW w:w="641" w:type="dxa"/>
            <w:vMerge w:val="continue"/>
            <w:shd w:val="clear" w:color="auto" w:fill="auto"/>
            <w:vAlign w:val="center"/>
          </w:tcPr>
          <w:p/>
        </w:tc>
        <w:tc>
          <w:tcPr>
            <w:tcW w:w="883" w:type="dxa"/>
            <w:vMerge w:val="continue"/>
            <w:shd w:val="clear" w:color="auto" w:fill="auto"/>
            <w:vAlign w:val="center"/>
          </w:tcPr>
          <w:p/>
        </w:tc>
        <w:tc>
          <w:tcPr>
            <w:tcW w:w="1006" w:type="dxa"/>
            <w:vMerge w:val="continue"/>
            <w:shd w:val="clear" w:color="auto" w:fill="auto"/>
            <w:vAlign w:val="center"/>
          </w:tcPr>
          <w:p/>
        </w:tc>
        <w:tc>
          <w:tcPr>
            <w:tcW w:w="1063"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总计</w:t>
            </w:r>
          </w:p>
        </w:tc>
        <w:tc>
          <w:tcPr>
            <w:tcW w:w="4662" w:type="dxa"/>
            <w:gridSpan w:val="5"/>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当年部门预算安排资金</w:t>
            </w:r>
          </w:p>
        </w:tc>
        <w:tc>
          <w:tcPr>
            <w:tcW w:w="790" w:type="dxa"/>
            <w:vMerge w:val="restart"/>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其他渠道资金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blHeader/>
          <w:jc w:val="center"/>
        </w:trPr>
        <w:tc>
          <w:tcPr>
            <w:tcW w:w="2324" w:type="dxa"/>
            <w:vMerge w:val="continue"/>
            <w:shd w:val="clear" w:color="auto" w:fill="auto"/>
            <w:vAlign w:val="center"/>
          </w:tcPr>
          <w:p/>
        </w:tc>
        <w:tc>
          <w:tcPr>
            <w:tcW w:w="1008" w:type="dxa"/>
            <w:vMerge w:val="continue"/>
            <w:shd w:val="clear" w:color="auto" w:fill="auto"/>
            <w:vAlign w:val="center"/>
          </w:tcPr>
          <w:p/>
        </w:tc>
        <w:tc>
          <w:tcPr>
            <w:tcW w:w="842" w:type="dxa"/>
            <w:vMerge w:val="continue"/>
            <w:shd w:val="clear" w:color="auto" w:fill="auto"/>
            <w:vAlign w:val="center"/>
          </w:tcPr>
          <w:p/>
        </w:tc>
        <w:tc>
          <w:tcPr>
            <w:tcW w:w="1349" w:type="dxa"/>
            <w:vMerge w:val="continue"/>
            <w:shd w:val="clear" w:color="auto" w:fill="auto"/>
            <w:vAlign w:val="center"/>
          </w:tcPr>
          <w:p/>
        </w:tc>
        <w:tc>
          <w:tcPr>
            <w:tcW w:w="641" w:type="dxa"/>
            <w:vMerge w:val="continue"/>
            <w:shd w:val="clear" w:color="auto" w:fill="auto"/>
            <w:vAlign w:val="center"/>
          </w:tcPr>
          <w:p/>
        </w:tc>
        <w:tc>
          <w:tcPr>
            <w:tcW w:w="883" w:type="dxa"/>
            <w:vMerge w:val="continue"/>
            <w:shd w:val="clear" w:color="auto" w:fill="auto"/>
            <w:vAlign w:val="center"/>
          </w:tcPr>
          <w:p/>
        </w:tc>
        <w:tc>
          <w:tcPr>
            <w:tcW w:w="1006" w:type="dxa"/>
            <w:vMerge w:val="continue"/>
            <w:shd w:val="clear" w:color="auto" w:fill="auto"/>
            <w:vAlign w:val="center"/>
          </w:tcPr>
          <w:p/>
        </w:tc>
        <w:tc>
          <w:tcPr>
            <w:tcW w:w="1063" w:type="dxa"/>
            <w:vMerge w:val="continue"/>
            <w:shd w:val="clear" w:color="auto" w:fill="auto"/>
            <w:vAlign w:val="center"/>
          </w:tcPr>
          <w:p/>
        </w:tc>
        <w:tc>
          <w:tcPr>
            <w:tcW w:w="1063"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合计</w:t>
            </w:r>
          </w:p>
        </w:tc>
        <w:tc>
          <w:tcPr>
            <w:tcW w:w="883"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一般公共预算拨款</w:t>
            </w:r>
          </w:p>
        </w:tc>
        <w:tc>
          <w:tcPr>
            <w:tcW w:w="1006"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基金预算拨款</w:t>
            </w:r>
          </w:p>
        </w:tc>
        <w:tc>
          <w:tcPr>
            <w:tcW w:w="848"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财政专户核拨</w:t>
            </w:r>
          </w:p>
        </w:tc>
        <w:tc>
          <w:tcPr>
            <w:tcW w:w="862"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其他来源收入</w:t>
            </w:r>
          </w:p>
        </w:tc>
        <w:tc>
          <w:tcPr>
            <w:tcW w:w="790" w:type="dxa"/>
            <w:vMerge w:val="continue"/>
            <w:shd w:val="clear" w:color="auto" w:fill="auto"/>
            <w:vAlign w:val="center"/>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合　计</w:t>
            </w:r>
          </w:p>
        </w:tc>
        <w:tc>
          <w:tcPr>
            <w:tcW w:w="1008" w:type="dxa"/>
            <w:shd w:val="clear" w:color="auto" w:fill="auto"/>
            <w:vAlign w:val="center"/>
          </w:tcPr>
          <w:p>
            <w:pPr>
              <w:spacing w:line="300" w:lineRule="exact"/>
              <w:jc w:val="right"/>
              <w:rPr>
                <w:rFonts w:ascii="仿宋_GB2312" w:eastAsia="仿宋_GB2312" w:cs="Times New Roman"/>
                <w:b/>
              </w:rPr>
            </w:pPr>
          </w:p>
        </w:tc>
        <w:tc>
          <w:tcPr>
            <w:tcW w:w="842" w:type="dxa"/>
            <w:shd w:val="clear" w:color="auto" w:fill="auto"/>
            <w:vAlign w:val="center"/>
          </w:tcPr>
          <w:p>
            <w:pPr>
              <w:spacing w:line="300" w:lineRule="exact"/>
              <w:jc w:val="left"/>
              <w:rPr>
                <w:rFonts w:ascii="仿宋_GB2312" w:eastAsia="仿宋_GB2312" w:cs="Times New Roman"/>
                <w:b/>
              </w:rPr>
            </w:pPr>
          </w:p>
        </w:tc>
        <w:tc>
          <w:tcPr>
            <w:tcW w:w="1349" w:type="dxa"/>
            <w:shd w:val="clear" w:color="auto" w:fill="auto"/>
            <w:vAlign w:val="center"/>
          </w:tcPr>
          <w:p>
            <w:pPr>
              <w:spacing w:line="300" w:lineRule="exact"/>
              <w:jc w:val="left"/>
              <w:rPr>
                <w:rFonts w:ascii="仿宋_GB2312" w:eastAsia="仿宋_GB2312" w:cs="Times New Roman"/>
                <w:b/>
              </w:rPr>
            </w:pPr>
          </w:p>
        </w:tc>
        <w:tc>
          <w:tcPr>
            <w:tcW w:w="641" w:type="dxa"/>
            <w:shd w:val="clear" w:color="auto" w:fill="auto"/>
            <w:vAlign w:val="center"/>
          </w:tcPr>
          <w:p>
            <w:pPr>
              <w:spacing w:line="300" w:lineRule="exact"/>
              <w:jc w:val="left"/>
              <w:rPr>
                <w:rFonts w:ascii="仿宋_GB2312" w:eastAsia="仿宋_GB2312" w:cs="Times New Roman"/>
                <w:b/>
              </w:rPr>
            </w:pPr>
          </w:p>
        </w:tc>
        <w:tc>
          <w:tcPr>
            <w:tcW w:w="883" w:type="dxa"/>
            <w:shd w:val="clear" w:color="auto" w:fill="auto"/>
            <w:vAlign w:val="center"/>
          </w:tcPr>
          <w:p>
            <w:pPr>
              <w:spacing w:line="300" w:lineRule="exact"/>
              <w:jc w:val="right"/>
              <w:rPr>
                <w:rFonts w:ascii="仿宋_GB2312" w:eastAsia="仿宋_GB2312" w:cs="Times New Roman"/>
                <w:b/>
              </w:rPr>
            </w:pPr>
          </w:p>
        </w:tc>
        <w:tc>
          <w:tcPr>
            <w:tcW w:w="1006" w:type="dxa"/>
            <w:shd w:val="clear" w:color="auto" w:fill="auto"/>
            <w:vAlign w:val="center"/>
          </w:tcPr>
          <w:p>
            <w:pPr>
              <w:spacing w:line="300" w:lineRule="exact"/>
              <w:jc w:val="right"/>
              <w:rPr>
                <w:rFonts w:ascii="仿宋_GB2312" w:eastAsia="仿宋_GB2312" w:cs="Times New Roman"/>
                <w:b/>
              </w:rPr>
            </w:pPr>
          </w:p>
        </w:tc>
        <w:tc>
          <w:tcPr>
            <w:tcW w:w="1063" w:type="dxa"/>
            <w:shd w:val="clear" w:color="auto" w:fill="auto"/>
            <w:vAlign w:val="center"/>
          </w:tcPr>
          <w:p>
            <w:pPr>
              <w:spacing w:line="300" w:lineRule="exact"/>
              <w:jc w:val="right"/>
              <w:rPr>
                <w:rFonts w:ascii="仿宋_GB2312" w:eastAsia="仿宋_GB2312" w:cs="Times New Roman"/>
                <w:b/>
              </w:rPr>
            </w:pPr>
            <w:r>
              <w:rPr>
                <w:rFonts w:hint="eastAsia" w:ascii="仿宋_GB2312" w:eastAsia="仿宋_GB2312" w:cs="Times New Roman"/>
                <w:b/>
              </w:rPr>
              <w:t>104</w:t>
            </w:r>
            <w:r>
              <w:rPr>
                <w:rFonts w:ascii="仿宋_GB2312" w:eastAsia="仿宋_GB2312" w:cs="Times New Roman"/>
                <w:b/>
              </w:rPr>
              <w:t>10.00</w:t>
            </w:r>
          </w:p>
        </w:tc>
        <w:tc>
          <w:tcPr>
            <w:tcW w:w="1063" w:type="dxa"/>
            <w:shd w:val="clear" w:color="auto" w:fill="auto"/>
            <w:vAlign w:val="center"/>
          </w:tcPr>
          <w:p>
            <w:pPr>
              <w:spacing w:line="300" w:lineRule="exact"/>
              <w:jc w:val="right"/>
              <w:rPr>
                <w:rFonts w:ascii="仿宋_GB2312" w:eastAsia="仿宋_GB2312" w:cs="Times New Roman"/>
                <w:b/>
              </w:rPr>
            </w:pPr>
            <w:r>
              <w:rPr>
                <w:rFonts w:ascii="仿宋_GB2312" w:eastAsia="仿宋_GB2312" w:cs="Times New Roman"/>
                <w:b/>
              </w:rPr>
              <w:t>10410.00</w:t>
            </w:r>
          </w:p>
        </w:tc>
        <w:tc>
          <w:tcPr>
            <w:tcW w:w="883" w:type="dxa"/>
            <w:shd w:val="clear" w:color="auto" w:fill="auto"/>
            <w:vAlign w:val="center"/>
          </w:tcPr>
          <w:p>
            <w:pPr>
              <w:spacing w:line="300" w:lineRule="exact"/>
              <w:jc w:val="right"/>
              <w:rPr>
                <w:rFonts w:ascii="仿宋_GB2312" w:eastAsia="仿宋_GB2312" w:cs="Times New Roman"/>
                <w:b/>
              </w:rPr>
            </w:pPr>
            <w:r>
              <w:rPr>
                <w:rFonts w:hint="eastAsia" w:ascii="仿宋_GB2312" w:eastAsia="仿宋_GB2312" w:cs="Times New Roman"/>
                <w:b/>
              </w:rPr>
              <w:t>752.00</w:t>
            </w:r>
          </w:p>
        </w:tc>
        <w:tc>
          <w:tcPr>
            <w:tcW w:w="1006" w:type="dxa"/>
            <w:shd w:val="clear" w:color="auto" w:fill="auto"/>
            <w:vAlign w:val="center"/>
          </w:tcPr>
          <w:p>
            <w:pPr>
              <w:spacing w:line="300" w:lineRule="exact"/>
              <w:jc w:val="right"/>
              <w:rPr>
                <w:rFonts w:ascii="仿宋_GB2312" w:eastAsia="仿宋_GB2312" w:cs="Times New Roman"/>
                <w:b/>
              </w:rPr>
            </w:pPr>
            <w:r>
              <w:rPr>
                <w:rFonts w:hint="eastAsia" w:ascii="仿宋_GB2312" w:eastAsia="仿宋_GB2312" w:cs="Times New Roman"/>
                <w:b/>
              </w:rPr>
              <w:t>9658.00</w:t>
            </w:r>
          </w:p>
        </w:tc>
        <w:tc>
          <w:tcPr>
            <w:tcW w:w="848" w:type="dxa"/>
            <w:shd w:val="clear" w:color="auto" w:fill="auto"/>
            <w:vAlign w:val="center"/>
          </w:tcPr>
          <w:p>
            <w:pPr>
              <w:spacing w:line="300" w:lineRule="exact"/>
              <w:jc w:val="right"/>
              <w:rPr>
                <w:rFonts w:ascii="仿宋_GB2312" w:eastAsia="仿宋_GB2312" w:cs="Times New Roman"/>
                <w:b/>
              </w:rPr>
            </w:pPr>
          </w:p>
        </w:tc>
        <w:tc>
          <w:tcPr>
            <w:tcW w:w="862" w:type="dxa"/>
            <w:shd w:val="clear" w:color="auto" w:fill="auto"/>
            <w:vAlign w:val="center"/>
          </w:tcPr>
          <w:p>
            <w:pPr>
              <w:spacing w:line="300" w:lineRule="exact"/>
              <w:jc w:val="right"/>
              <w:rPr>
                <w:rFonts w:ascii="仿宋_GB2312" w:eastAsia="仿宋_GB2312" w:cs="Times New Roman"/>
                <w:b/>
              </w:rPr>
            </w:pPr>
          </w:p>
        </w:tc>
        <w:tc>
          <w:tcPr>
            <w:tcW w:w="790" w:type="dxa"/>
            <w:shd w:val="clear" w:color="auto" w:fill="auto"/>
            <w:vAlign w:val="center"/>
          </w:tcPr>
          <w:p>
            <w:pPr>
              <w:spacing w:line="300" w:lineRule="exact"/>
              <w:jc w:val="right"/>
              <w:rPr>
                <w:rFonts w:ascii="仿宋_GB2312" w:eastAsia="仿宋_GB2312" w:cs="Times New Roman"/>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vAlign w:val="center"/>
          </w:tcPr>
          <w:p>
            <w:pPr>
              <w:spacing w:line="300" w:lineRule="exact"/>
              <w:jc w:val="center"/>
              <w:rPr>
                <w:rFonts w:ascii="仿宋_GB2312" w:eastAsia="仿宋_GB2312" w:cs="Times New Roman"/>
                <w:b/>
              </w:rPr>
            </w:pPr>
            <w:r>
              <w:rPr>
                <w:rFonts w:hint="eastAsia" w:ascii="仿宋_GB2312" w:eastAsia="仿宋_GB2312" w:cs="Times New Roman"/>
                <w:b/>
              </w:rPr>
              <w:t>廊坊市建设局</w:t>
            </w:r>
            <w:r>
              <w:rPr>
                <w:rFonts w:ascii="仿宋_GB2312" w:eastAsia="仿宋_GB2312" w:cs="Times New Roman"/>
                <w:b/>
              </w:rPr>
              <w:t>小计</w:t>
            </w:r>
          </w:p>
        </w:tc>
        <w:tc>
          <w:tcPr>
            <w:tcW w:w="1008" w:type="dxa"/>
            <w:shd w:val="clear" w:color="auto" w:fill="auto"/>
            <w:vAlign w:val="center"/>
          </w:tcPr>
          <w:p>
            <w:pPr>
              <w:spacing w:line="300" w:lineRule="exact"/>
              <w:jc w:val="right"/>
              <w:rPr>
                <w:rFonts w:ascii="仿宋_GB2312" w:eastAsia="仿宋_GB2312" w:cs="Times New Roman"/>
                <w:b/>
              </w:rPr>
            </w:pPr>
          </w:p>
        </w:tc>
        <w:tc>
          <w:tcPr>
            <w:tcW w:w="842" w:type="dxa"/>
            <w:shd w:val="clear" w:color="auto" w:fill="auto"/>
            <w:vAlign w:val="center"/>
          </w:tcPr>
          <w:p>
            <w:pPr>
              <w:spacing w:line="300" w:lineRule="exact"/>
              <w:jc w:val="left"/>
              <w:rPr>
                <w:rFonts w:ascii="仿宋_GB2312" w:eastAsia="仿宋_GB2312" w:cs="Times New Roman"/>
                <w:b/>
              </w:rPr>
            </w:pPr>
          </w:p>
        </w:tc>
        <w:tc>
          <w:tcPr>
            <w:tcW w:w="1349" w:type="dxa"/>
            <w:shd w:val="clear" w:color="auto" w:fill="auto"/>
            <w:vAlign w:val="center"/>
          </w:tcPr>
          <w:p>
            <w:pPr>
              <w:spacing w:line="300" w:lineRule="exact"/>
              <w:jc w:val="left"/>
              <w:rPr>
                <w:rFonts w:ascii="仿宋_GB2312" w:eastAsia="仿宋_GB2312" w:cs="Times New Roman"/>
                <w:b/>
              </w:rPr>
            </w:pPr>
          </w:p>
        </w:tc>
        <w:tc>
          <w:tcPr>
            <w:tcW w:w="641" w:type="dxa"/>
            <w:shd w:val="clear" w:color="auto" w:fill="auto"/>
            <w:vAlign w:val="center"/>
          </w:tcPr>
          <w:p>
            <w:pPr>
              <w:spacing w:line="300" w:lineRule="exact"/>
              <w:jc w:val="left"/>
              <w:rPr>
                <w:rFonts w:ascii="仿宋_GB2312" w:eastAsia="仿宋_GB2312" w:cs="Times New Roman"/>
                <w:b/>
              </w:rPr>
            </w:pPr>
          </w:p>
        </w:tc>
        <w:tc>
          <w:tcPr>
            <w:tcW w:w="883" w:type="dxa"/>
            <w:shd w:val="clear" w:color="auto" w:fill="auto"/>
            <w:vAlign w:val="center"/>
          </w:tcPr>
          <w:p>
            <w:pPr>
              <w:spacing w:line="300" w:lineRule="exact"/>
              <w:jc w:val="right"/>
              <w:rPr>
                <w:rFonts w:ascii="仿宋_GB2312" w:eastAsia="仿宋_GB2312" w:cs="Times New Roman"/>
                <w:b/>
              </w:rPr>
            </w:pPr>
          </w:p>
        </w:tc>
        <w:tc>
          <w:tcPr>
            <w:tcW w:w="1006" w:type="dxa"/>
            <w:shd w:val="clear" w:color="auto" w:fill="auto"/>
            <w:vAlign w:val="center"/>
          </w:tcPr>
          <w:p>
            <w:pPr>
              <w:spacing w:line="300" w:lineRule="exact"/>
              <w:jc w:val="right"/>
              <w:rPr>
                <w:rFonts w:ascii="仿宋_GB2312" w:eastAsia="仿宋_GB2312" w:cs="Times New Roman"/>
                <w:b/>
              </w:rPr>
            </w:pPr>
          </w:p>
        </w:tc>
        <w:tc>
          <w:tcPr>
            <w:tcW w:w="1063" w:type="dxa"/>
            <w:shd w:val="clear" w:color="auto" w:fill="auto"/>
            <w:vAlign w:val="center"/>
          </w:tcPr>
          <w:p>
            <w:pPr>
              <w:spacing w:line="300" w:lineRule="exact"/>
              <w:jc w:val="right"/>
              <w:rPr>
                <w:rFonts w:ascii="仿宋_GB2312" w:eastAsia="仿宋_GB2312" w:cs="Times New Roman"/>
                <w:b/>
              </w:rPr>
            </w:pPr>
            <w:r>
              <w:rPr>
                <w:rFonts w:hint="eastAsia" w:ascii="仿宋_GB2312" w:eastAsia="仿宋_GB2312" w:cs="Times New Roman"/>
                <w:b/>
              </w:rPr>
              <w:t>104</w:t>
            </w:r>
            <w:r>
              <w:rPr>
                <w:rFonts w:ascii="仿宋_GB2312" w:eastAsia="仿宋_GB2312" w:cs="Times New Roman"/>
                <w:b/>
              </w:rPr>
              <w:t>10.00</w:t>
            </w:r>
          </w:p>
        </w:tc>
        <w:tc>
          <w:tcPr>
            <w:tcW w:w="1063" w:type="dxa"/>
            <w:shd w:val="clear" w:color="auto" w:fill="auto"/>
            <w:vAlign w:val="center"/>
          </w:tcPr>
          <w:p>
            <w:pPr>
              <w:spacing w:line="300" w:lineRule="exact"/>
              <w:jc w:val="right"/>
              <w:rPr>
                <w:rFonts w:ascii="仿宋_GB2312" w:eastAsia="仿宋_GB2312" w:cs="Times New Roman"/>
                <w:b/>
              </w:rPr>
            </w:pPr>
            <w:r>
              <w:rPr>
                <w:rFonts w:ascii="仿宋_GB2312" w:eastAsia="仿宋_GB2312" w:cs="Times New Roman"/>
                <w:b/>
              </w:rPr>
              <w:t>10410.00</w:t>
            </w:r>
          </w:p>
        </w:tc>
        <w:tc>
          <w:tcPr>
            <w:tcW w:w="883" w:type="dxa"/>
            <w:shd w:val="clear" w:color="auto" w:fill="auto"/>
            <w:vAlign w:val="center"/>
          </w:tcPr>
          <w:p>
            <w:pPr>
              <w:spacing w:line="300" w:lineRule="exact"/>
              <w:jc w:val="right"/>
              <w:rPr>
                <w:rFonts w:ascii="仿宋_GB2312" w:eastAsia="仿宋_GB2312" w:cs="Times New Roman"/>
                <w:b/>
              </w:rPr>
            </w:pPr>
            <w:r>
              <w:rPr>
                <w:rFonts w:hint="eastAsia" w:ascii="仿宋_GB2312" w:eastAsia="仿宋_GB2312" w:cs="Times New Roman"/>
                <w:b/>
              </w:rPr>
              <w:t>752.00</w:t>
            </w:r>
          </w:p>
        </w:tc>
        <w:tc>
          <w:tcPr>
            <w:tcW w:w="1006" w:type="dxa"/>
            <w:shd w:val="clear" w:color="auto" w:fill="auto"/>
            <w:vAlign w:val="center"/>
          </w:tcPr>
          <w:p>
            <w:pPr>
              <w:spacing w:line="300" w:lineRule="exact"/>
              <w:jc w:val="right"/>
              <w:rPr>
                <w:rFonts w:ascii="仿宋_GB2312" w:eastAsia="仿宋_GB2312" w:cs="Times New Roman"/>
                <w:b/>
              </w:rPr>
            </w:pPr>
            <w:r>
              <w:rPr>
                <w:rFonts w:hint="eastAsia" w:ascii="仿宋_GB2312" w:eastAsia="仿宋_GB2312" w:cs="Times New Roman"/>
                <w:b/>
              </w:rPr>
              <w:t>9658.00</w:t>
            </w:r>
          </w:p>
        </w:tc>
        <w:tc>
          <w:tcPr>
            <w:tcW w:w="848" w:type="dxa"/>
            <w:shd w:val="clear" w:color="auto" w:fill="auto"/>
            <w:vAlign w:val="center"/>
          </w:tcPr>
          <w:p>
            <w:pPr>
              <w:spacing w:line="300" w:lineRule="exact"/>
              <w:jc w:val="right"/>
              <w:rPr>
                <w:rFonts w:ascii="仿宋_GB2312" w:eastAsia="仿宋_GB2312" w:cs="Times New Roman"/>
                <w:b/>
              </w:rPr>
            </w:pPr>
          </w:p>
        </w:tc>
        <w:tc>
          <w:tcPr>
            <w:tcW w:w="862" w:type="dxa"/>
            <w:shd w:val="clear" w:color="auto" w:fill="auto"/>
            <w:vAlign w:val="center"/>
          </w:tcPr>
          <w:p>
            <w:pPr>
              <w:spacing w:line="300" w:lineRule="exact"/>
              <w:jc w:val="right"/>
              <w:rPr>
                <w:rFonts w:ascii="仿宋_GB2312" w:eastAsia="仿宋_GB2312" w:cs="Times New Roman"/>
                <w:b/>
              </w:rPr>
            </w:pPr>
          </w:p>
        </w:tc>
        <w:tc>
          <w:tcPr>
            <w:tcW w:w="790" w:type="dxa"/>
            <w:shd w:val="clear" w:color="auto" w:fill="auto"/>
            <w:vAlign w:val="center"/>
          </w:tcPr>
          <w:p>
            <w:pPr>
              <w:spacing w:line="300" w:lineRule="exact"/>
              <w:jc w:val="right"/>
              <w:rPr>
                <w:rFonts w:ascii="仿宋_GB2312" w:eastAsia="仿宋_GB2312" w:cs="Times New Roman"/>
                <w: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r>
              <w:rPr>
                <w:rFonts w:hint="eastAsia" w:ascii="方正书宋_GBK" w:eastAsia="方正书宋_GBK"/>
              </w:rPr>
              <w:t>环卫局环卫工人工作服购置费</w:t>
            </w:r>
          </w:p>
        </w:tc>
        <w:tc>
          <w:tcPr>
            <w:tcW w:w="1008" w:type="dxa"/>
            <w:shd w:val="clear" w:color="auto" w:fill="auto"/>
            <w:vAlign w:val="center"/>
          </w:tcPr>
          <w:p>
            <w:pPr>
              <w:widowControl/>
              <w:jc w:val="right"/>
              <w:rPr>
                <w:kern w:val="0"/>
                <w:sz w:val="18"/>
                <w:szCs w:val="18"/>
              </w:rPr>
            </w:pPr>
            <w:r>
              <w:rPr>
                <w:rFonts w:hint="eastAsia"/>
                <w:sz w:val="18"/>
                <w:szCs w:val="18"/>
              </w:rPr>
              <w:t>49.00</w:t>
            </w:r>
          </w:p>
        </w:tc>
        <w:tc>
          <w:tcPr>
            <w:tcW w:w="842" w:type="dxa"/>
            <w:shd w:val="clear" w:color="auto" w:fill="auto"/>
            <w:vAlign w:val="center"/>
          </w:tcPr>
          <w:p>
            <w:pPr>
              <w:spacing w:line="300" w:lineRule="exact"/>
              <w:jc w:val="left"/>
              <w:rPr>
                <w:rFonts w:ascii="仿宋_GB2312" w:eastAsia="仿宋_GB2312" w:cs="Times New Roman"/>
              </w:rPr>
            </w:pPr>
            <w:r>
              <w:rPr>
                <w:rFonts w:hint="eastAsia" w:ascii="仿宋_GB2312" w:eastAsia="仿宋_GB2312" w:cs="Times New Roman"/>
              </w:rPr>
              <w:t>货物</w:t>
            </w:r>
          </w:p>
        </w:tc>
        <w:tc>
          <w:tcPr>
            <w:tcW w:w="1349" w:type="dxa"/>
            <w:shd w:val="clear" w:color="auto" w:fill="auto"/>
            <w:vAlign w:val="center"/>
          </w:tcPr>
          <w:p>
            <w:pPr>
              <w:spacing w:line="300" w:lineRule="exact"/>
              <w:jc w:val="left"/>
              <w:rPr>
                <w:rFonts w:ascii="仿宋_GB2312" w:eastAsia="仿宋_GB2312" w:cs="Times New Roman"/>
              </w:rPr>
            </w:pPr>
            <w:r>
              <w:rPr>
                <w:rFonts w:hint="eastAsia" w:ascii="仿宋_GB2312" w:eastAsia="仿宋_GB2312" w:cs="Times New Roman"/>
              </w:rPr>
              <w:t>A</w:t>
            </w:r>
          </w:p>
        </w:tc>
        <w:tc>
          <w:tcPr>
            <w:tcW w:w="641" w:type="dxa"/>
            <w:shd w:val="clear" w:color="auto" w:fill="auto"/>
            <w:vAlign w:val="center"/>
          </w:tcPr>
          <w:p>
            <w:pPr>
              <w:spacing w:line="300" w:lineRule="exact"/>
              <w:jc w:val="left"/>
              <w:rPr>
                <w:rFonts w:ascii="仿宋_GB2312" w:eastAsia="仿宋_GB2312" w:cs="Times New Roman"/>
              </w:rPr>
            </w:pPr>
            <w:r>
              <w:rPr>
                <w:rFonts w:hint="eastAsia" w:ascii="仿宋_GB2312" w:eastAsia="仿宋_GB2312" w:cs="Times New Roman"/>
              </w:rPr>
              <w:t>批</w:t>
            </w:r>
          </w:p>
        </w:tc>
        <w:tc>
          <w:tcPr>
            <w:tcW w:w="883" w:type="dxa"/>
            <w:shd w:val="clear" w:color="auto" w:fill="auto"/>
            <w:vAlign w:val="center"/>
          </w:tcPr>
          <w:p>
            <w:pPr>
              <w:spacing w:line="300" w:lineRule="exact"/>
              <w:jc w:val="right"/>
              <w:rPr>
                <w:rFonts w:ascii="仿宋_GB2312" w:eastAsia="仿宋_GB2312" w:cs="Times New Roman"/>
              </w:rPr>
            </w:pPr>
            <w:r>
              <w:rPr>
                <w:rFonts w:hint="eastAsia" w:ascii="仿宋_GB2312" w:eastAsia="仿宋_GB2312" w:cs="Times New Roman"/>
              </w:rPr>
              <w:t>1.00</w:t>
            </w:r>
          </w:p>
        </w:tc>
        <w:tc>
          <w:tcPr>
            <w:tcW w:w="1006" w:type="dxa"/>
            <w:shd w:val="clear" w:color="auto" w:fill="auto"/>
            <w:vAlign w:val="center"/>
          </w:tcPr>
          <w:p>
            <w:pPr>
              <w:spacing w:line="300" w:lineRule="exact"/>
              <w:jc w:val="right"/>
              <w:rPr>
                <w:rFonts w:ascii="仿宋_GB2312" w:eastAsia="仿宋_GB2312" w:cs="Times New Roman"/>
              </w:rPr>
            </w:pPr>
            <w:r>
              <w:rPr>
                <w:rFonts w:hint="eastAsia" w:ascii="仿宋_GB2312" w:eastAsia="仿宋_GB2312" w:cs="Times New Roman"/>
              </w:rPr>
              <w:t>49.00</w:t>
            </w:r>
          </w:p>
        </w:tc>
        <w:tc>
          <w:tcPr>
            <w:tcW w:w="1063" w:type="dxa"/>
            <w:shd w:val="clear" w:color="auto" w:fill="auto"/>
            <w:vAlign w:val="center"/>
          </w:tcPr>
          <w:p>
            <w:pPr>
              <w:spacing w:line="300" w:lineRule="exact"/>
              <w:jc w:val="right"/>
              <w:rPr>
                <w:rFonts w:ascii="仿宋_GB2312" w:eastAsia="仿宋_GB2312" w:cs="Times New Roman"/>
              </w:rPr>
            </w:pPr>
            <w:r>
              <w:rPr>
                <w:rFonts w:hint="eastAsia" w:ascii="仿宋_GB2312" w:eastAsia="仿宋_GB2312" w:cs="Times New Roman"/>
              </w:rPr>
              <w:t>49.00</w:t>
            </w:r>
          </w:p>
        </w:tc>
        <w:tc>
          <w:tcPr>
            <w:tcW w:w="1063" w:type="dxa"/>
            <w:shd w:val="clear" w:color="auto" w:fill="auto"/>
            <w:vAlign w:val="center"/>
          </w:tcPr>
          <w:p>
            <w:pPr>
              <w:spacing w:line="300" w:lineRule="exact"/>
              <w:jc w:val="right"/>
              <w:rPr>
                <w:rFonts w:ascii="仿宋_GB2312" w:eastAsia="仿宋_GB2312" w:cs="Times New Roman"/>
              </w:rPr>
            </w:pPr>
            <w:r>
              <w:rPr>
                <w:rFonts w:hint="eastAsia" w:ascii="仿宋_GB2312" w:eastAsia="仿宋_GB2312" w:cs="Times New Roman"/>
              </w:rPr>
              <w:t>49.00</w:t>
            </w:r>
          </w:p>
        </w:tc>
        <w:tc>
          <w:tcPr>
            <w:tcW w:w="883" w:type="dxa"/>
            <w:shd w:val="clear" w:color="auto" w:fill="auto"/>
            <w:vAlign w:val="center"/>
          </w:tcPr>
          <w:p>
            <w:pPr>
              <w:spacing w:line="300" w:lineRule="exact"/>
              <w:jc w:val="right"/>
              <w:rPr>
                <w:rFonts w:ascii="仿宋_GB2312" w:eastAsia="仿宋_GB2312" w:cs="Times New Roman"/>
              </w:rPr>
            </w:pPr>
            <w:r>
              <w:rPr>
                <w:rFonts w:hint="eastAsia" w:ascii="仿宋_GB2312" w:eastAsia="仿宋_GB2312" w:cs="Times New Roman"/>
              </w:rPr>
              <w:t>49.00</w:t>
            </w:r>
          </w:p>
        </w:tc>
        <w:tc>
          <w:tcPr>
            <w:tcW w:w="1006" w:type="dxa"/>
            <w:shd w:val="clear" w:color="auto" w:fill="auto"/>
            <w:vAlign w:val="center"/>
          </w:tcPr>
          <w:p>
            <w:pPr>
              <w:spacing w:line="300" w:lineRule="exact"/>
              <w:jc w:val="right"/>
              <w:rPr>
                <w:rFonts w:ascii="仿宋_GB2312" w:eastAsia="仿宋_GB2312" w:cs="Times New Roman"/>
              </w:rPr>
            </w:pPr>
          </w:p>
        </w:tc>
        <w:tc>
          <w:tcPr>
            <w:tcW w:w="848" w:type="dxa"/>
            <w:shd w:val="clear" w:color="auto" w:fill="auto"/>
            <w:vAlign w:val="center"/>
          </w:tcPr>
          <w:p>
            <w:pPr>
              <w:spacing w:line="300" w:lineRule="exact"/>
              <w:jc w:val="right"/>
              <w:rPr>
                <w:rFonts w:ascii="仿宋_GB2312" w:eastAsia="仿宋_GB2312" w:cs="Times New Roman"/>
              </w:rPr>
            </w:pPr>
          </w:p>
        </w:tc>
        <w:tc>
          <w:tcPr>
            <w:tcW w:w="862" w:type="dxa"/>
            <w:shd w:val="clear" w:color="auto" w:fill="auto"/>
            <w:vAlign w:val="center"/>
          </w:tcPr>
          <w:p>
            <w:pPr>
              <w:spacing w:line="300" w:lineRule="exact"/>
              <w:jc w:val="right"/>
              <w:rPr>
                <w:rFonts w:ascii="仿宋_GB2312" w:eastAsia="仿宋_GB2312" w:cs="Times New Roman"/>
              </w:rPr>
            </w:pPr>
          </w:p>
        </w:tc>
        <w:tc>
          <w:tcPr>
            <w:tcW w:w="790" w:type="dxa"/>
            <w:shd w:val="clear" w:color="auto" w:fill="auto"/>
            <w:vAlign w:val="center"/>
          </w:tcPr>
          <w:p>
            <w:pPr>
              <w:spacing w:line="300" w:lineRule="exact"/>
              <w:jc w:val="right"/>
              <w:rPr>
                <w:rFonts w:ascii="仿宋_GB2312" w:eastAsia="仿宋_GB2312" w:cs="Times New Roma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68" w:hRule="atLeast"/>
          <w:jc w:val="center"/>
        </w:trPr>
        <w:tc>
          <w:tcPr>
            <w:tcW w:w="2324" w:type="dxa"/>
            <w:shd w:val="clear" w:color="auto" w:fill="auto"/>
          </w:tcPr>
          <w:p>
            <w:pPr>
              <w:rPr>
                <w:rFonts w:ascii="方正书宋_GBK" w:eastAsia="方正书宋_GBK"/>
              </w:rPr>
            </w:pPr>
            <w:r>
              <w:rPr>
                <w:rFonts w:hint="eastAsia" w:ascii="方正书宋_GBK" w:eastAsia="方正书宋_GBK"/>
              </w:rPr>
              <w:t>环卫局生产车辆购置费</w:t>
            </w:r>
          </w:p>
        </w:tc>
        <w:tc>
          <w:tcPr>
            <w:tcW w:w="1008"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清洁卫生车辆</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A02030727</w:t>
            </w:r>
          </w:p>
        </w:tc>
        <w:tc>
          <w:tcPr>
            <w:tcW w:w="641"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辆</w:t>
            </w: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3.00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20.00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60.00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60.00</w:t>
            </w: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60.00</w:t>
            </w:r>
          </w:p>
        </w:tc>
        <w:tc>
          <w:tcPr>
            <w:tcW w:w="1006" w:type="dxa"/>
            <w:shd w:val="clear" w:color="auto" w:fill="auto"/>
            <w:vAlign w:val="center"/>
          </w:tcPr>
          <w:p>
            <w:pPr>
              <w:spacing w:line="300" w:lineRule="exact"/>
              <w:jc w:val="right"/>
              <w:rPr>
                <w:rFonts w:ascii="方正书宋_GBK" w:eastAsia="方正书宋_GBK"/>
              </w:rPr>
            </w:pP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环卫局生产车辆购置费</w:t>
            </w:r>
          </w:p>
        </w:tc>
        <w:tc>
          <w:tcPr>
            <w:tcW w:w="1008"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清洁卫生车辆</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A02030727</w:t>
            </w:r>
          </w:p>
        </w:tc>
        <w:tc>
          <w:tcPr>
            <w:tcW w:w="641"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辆</w:t>
            </w: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40.00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40.00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40.00</w:t>
            </w: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40.00</w:t>
            </w:r>
          </w:p>
        </w:tc>
        <w:tc>
          <w:tcPr>
            <w:tcW w:w="1006" w:type="dxa"/>
            <w:shd w:val="clear" w:color="auto" w:fill="auto"/>
            <w:vAlign w:val="center"/>
          </w:tcPr>
          <w:p>
            <w:pPr>
              <w:spacing w:line="300" w:lineRule="exact"/>
              <w:jc w:val="right"/>
              <w:rPr>
                <w:rFonts w:ascii="方正书宋_GBK" w:eastAsia="方正书宋_GBK"/>
              </w:rPr>
            </w:pP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时代广场设备购置资金</w:t>
            </w:r>
          </w:p>
        </w:tc>
        <w:tc>
          <w:tcPr>
            <w:tcW w:w="1008" w:type="dxa"/>
            <w:shd w:val="clear" w:color="auto" w:fill="auto"/>
            <w:vAlign w:val="center"/>
          </w:tcPr>
          <w:p>
            <w:pPr>
              <w:spacing w:line="300" w:lineRule="exact"/>
              <w:jc w:val="right"/>
              <w:rPr>
                <w:rFonts w:ascii="方正书宋_GBK" w:eastAsia="方正书宋_GBK"/>
              </w:rPr>
            </w:pPr>
            <w:r>
              <w:rPr>
                <w:rFonts w:ascii="方正书宋_GBK" w:eastAsia="方正书宋_GBK"/>
              </w:rPr>
              <w:t>65</w:t>
            </w:r>
            <w:r>
              <w:rPr>
                <w:rFonts w:hint="eastAsia" w:ascii="方正书宋_GBK" w:eastAsia="方正书宋_GBK"/>
              </w:rPr>
              <w:t>.00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其他车辆</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A020399</w:t>
            </w:r>
          </w:p>
        </w:tc>
        <w:tc>
          <w:tcPr>
            <w:tcW w:w="641"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辆</w:t>
            </w: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10.00</w:t>
            </w:r>
          </w:p>
        </w:tc>
        <w:tc>
          <w:tcPr>
            <w:tcW w:w="1063"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1063"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10.00</w:t>
            </w:r>
          </w:p>
        </w:tc>
        <w:tc>
          <w:tcPr>
            <w:tcW w:w="1006" w:type="dxa"/>
            <w:shd w:val="clear" w:color="auto" w:fill="auto"/>
            <w:vAlign w:val="center"/>
          </w:tcPr>
          <w:p>
            <w:pPr>
              <w:spacing w:line="300" w:lineRule="exact"/>
              <w:jc w:val="right"/>
              <w:rPr>
                <w:rFonts w:ascii="方正书宋_GBK" w:eastAsia="方正书宋_GBK"/>
              </w:rPr>
            </w:pP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rPr>
                <w:rFonts w:ascii="方正书宋_GBK" w:eastAsia="方正书宋_GBK"/>
              </w:rPr>
            </w:pPr>
            <w:r>
              <w:rPr>
                <w:rFonts w:hint="eastAsia" w:ascii="方正书宋_GBK" w:eastAsia="方正书宋_GBK"/>
              </w:rPr>
              <w:t>时代广场设备购置资金</w:t>
            </w:r>
          </w:p>
        </w:tc>
        <w:tc>
          <w:tcPr>
            <w:tcW w:w="1008" w:type="dxa"/>
            <w:shd w:val="clear" w:color="auto" w:fill="auto"/>
            <w:vAlign w:val="center"/>
          </w:tcPr>
          <w:p>
            <w:pPr>
              <w:spacing w:line="300" w:lineRule="exact"/>
              <w:jc w:val="right"/>
              <w:rPr>
                <w:rFonts w:ascii="方正书宋_GBK" w:eastAsia="方正书宋_GBK"/>
              </w:rPr>
            </w:pPr>
            <w:r>
              <w:rPr>
                <w:rFonts w:ascii="方正书宋_GBK" w:eastAsia="方正书宋_GBK"/>
              </w:rPr>
              <w:t>65</w:t>
            </w:r>
            <w:r>
              <w:rPr>
                <w:rFonts w:hint="eastAsia" w:ascii="方正书宋_GBK" w:eastAsia="方正书宋_GBK"/>
              </w:rPr>
              <w:t>.00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清洁卫生车辆</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A02030727</w:t>
            </w:r>
          </w:p>
        </w:tc>
        <w:tc>
          <w:tcPr>
            <w:tcW w:w="641" w:type="dxa"/>
            <w:shd w:val="clear" w:color="auto" w:fill="auto"/>
            <w:vAlign w:val="center"/>
          </w:tcPr>
          <w:p>
            <w:pPr>
              <w:spacing w:line="300" w:lineRule="exact"/>
              <w:jc w:val="left"/>
              <w:rPr>
                <w:rFonts w:ascii="方正书宋_GBK" w:eastAsia="方正书宋_GBK"/>
              </w:rPr>
            </w:pPr>
            <w:r>
              <w:rPr>
                <w:rFonts w:hint="eastAsia" w:ascii="仿宋_GB2312" w:eastAsia="仿宋_GB2312" w:cs="Times New Roman"/>
              </w:rPr>
              <w:t>辆</w:t>
            </w: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55.00</w:t>
            </w:r>
          </w:p>
        </w:tc>
        <w:tc>
          <w:tcPr>
            <w:tcW w:w="1063" w:type="dxa"/>
            <w:shd w:val="clear" w:color="auto" w:fill="auto"/>
            <w:vAlign w:val="center"/>
          </w:tcPr>
          <w:p>
            <w:pPr>
              <w:spacing w:line="300" w:lineRule="exact"/>
              <w:jc w:val="right"/>
              <w:rPr>
                <w:rFonts w:ascii="方正书宋_GBK" w:eastAsia="方正书宋_GBK"/>
              </w:rPr>
            </w:pPr>
            <w:r>
              <w:rPr>
                <w:rFonts w:ascii="方正书宋_GBK" w:eastAsia="方正书宋_GBK"/>
              </w:rPr>
              <w:t>55.00</w:t>
            </w:r>
          </w:p>
        </w:tc>
        <w:tc>
          <w:tcPr>
            <w:tcW w:w="1063" w:type="dxa"/>
            <w:shd w:val="clear" w:color="auto" w:fill="auto"/>
            <w:vAlign w:val="center"/>
          </w:tcPr>
          <w:p>
            <w:pPr>
              <w:spacing w:line="300" w:lineRule="exact"/>
              <w:jc w:val="right"/>
              <w:rPr>
                <w:rFonts w:ascii="方正书宋_GBK" w:eastAsia="方正书宋_GBK"/>
              </w:rPr>
            </w:pPr>
            <w:r>
              <w:rPr>
                <w:rFonts w:ascii="方正书宋_GBK" w:eastAsia="方正书宋_GBK"/>
              </w:rPr>
              <w:t>55.00</w:t>
            </w: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55.00</w:t>
            </w:r>
          </w:p>
        </w:tc>
        <w:tc>
          <w:tcPr>
            <w:tcW w:w="1006" w:type="dxa"/>
            <w:shd w:val="clear" w:color="auto" w:fill="auto"/>
            <w:vAlign w:val="center"/>
          </w:tcPr>
          <w:p>
            <w:pPr>
              <w:spacing w:line="300" w:lineRule="exact"/>
              <w:jc w:val="right"/>
              <w:rPr>
                <w:rFonts w:ascii="方正书宋_GBK" w:eastAsia="方正书宋_GBK"/>
              </w:rPr>
            </w:pP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rPr>
                <w:rFonts w:ascii="方正书宋_GBK" w:eastAsia="方正书宋_GBK"/>
              </w:rPr>
            </w:pPr>
            <w:r>
              <w:rPr>
                <w:rFonts w:hint="eastAsia" w:ascii="方正书宋_GBK" w:eastAsia="方正书宋_GBK"/>
              </w:rPr>
              <w:t>时代广场绿化养护经费</w:t>
            </w:r>
          </w:p>
        </w:tc>
        <w:tc>
          <w:tcPr>
            <w:tcW w:w="1008" w:type="dxa"/>
            <w:shd w:val="clear" w:color="auto" w:fill="auto"/>
            <w:vAlign w:val="center"/>
          </w:tcPr>
          <w:p>
            <w:pPr>
              <w:spacing w:line="300" w:lineRule="exact"/>
              <w:jc w:val="right"/>
              <w:rPr>
                <w:rFonts w:ascii="方正书宋_GBK" w:eastAsia="方正书宋_GBK"/>
                <w:b/>
              </w:rPr>
            </w:pPr>
            <w:r>
              <w:rPr>
                <w:rFonts w:ascii="方正书宋_GBK" w:eastAsia="方正书宋_GBK"/>
              </w:rPr>
              <w:t>15</w:t>
            </w:r>
            <w:r>
              <w:rPr>
                <w:rFonts w:hint="eastAsia" w:ascii="方正书宋_GBK" w:eastAsia="方正书宋_GBK"/>
              </w:rPr>
              <w:t>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园林绿化管理服务</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C1303</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50.00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50.00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50.00</w:t>
            </w: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50.00</w:t>
            </w:r>
          </w:p>
        </w:tc>
        <w:tc>
          <w:tcPr>
            <w:tcW w:w="1006" w:type="dxa"/>
            <w:shd w:val="clear" w:color="auto" w:fill="auto"/>
            <w:vAlign w:val="center"/>
          </w:tcPr>
          <w:p>
            <w:pPr>
              <w:spacing w:line="300" w:lineRule="exact"/>
              <w:jc w:val="right"/>
              <w:rPr>
                <w:rFonts w:ascii="方正书宋_GBK" w:eastAsia="方正书宋_GBK"/>
              </w:rPr>
            </w:pP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rPr>
                <w:rFonts w:ascii="方正书宋_GBK" w:eastAsia="方正书宋_GBK"/>
              </w:rPr>
            </w:pPr>
            <w:r>
              <w:rPr>
                <w:rFonts w:hint="eastAsia" w:ascii="方正书宋_GBK" w:eastAsia="方正书宋_GBK"/>
              </w:rPr>
              <w:t>时代广场基础设施更新及园林仿古建筑维修资金</w:t>
            </w:r>
          </w:p>
        </w:tc>
        <w:tc>
          <w:tcPr>
            <w:tcW w:w="1008"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60.00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其他建筑工程</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B99</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1.00</w:t>
            </w:r>
          </w:p>
        </w:tc>
        <w:tc>
          <w:tcPr>
            <w:tcW w:w="1006" w:type="dxa"/>
            <w:shd w:val="clear" w:color="auto" w:fill="auto"/>
            <w:vAlign w:val="center"/>
          </w:tcPr>
          <w:p>
            <w:pPr>
              <w:spacing w:line="300" w:lineRule="exact"/>
              <w:jc w:val="right"/>
              <w:rPr>
                <w:rFonts w:ascii="方正书宋_GBK" w:eastAsia="方正书宋_GBK"/>
              </w:rPr>
            </w:pPr>
            <w:r>
              <w:rPr>
                <w:rFonts w:ascii="方正书宋_GBK" w:eastAsia="方正书宋_GBK"/>
              </w:rPr>
              <w:t>60</w:t>
            </w:r>
            <w:r>
              <w:rPr>
                <w:rFonts w:hint="eastAsia" w:ascii="方正书宋_GBK" w:eastAsia="方正书宋_GBK"/>
              </w:rPr>
              <w:t>.00</w:t>
            </w:r>
          </w:p>
        </w:tc>
        <w:tc>
          <w:tcPr>
            <w:tcW w:w="1063" w:type="dxa"/>
            <w:shd w:val="clear" w:color="auto" w:fill="auto"/>
            <w:vAlign w:val="center"/>
          </w:tcPr>
          <w:p>
            <w:pPr>
              <w:spacing w:line="300" w:lineRule="exact"/>
              <w:jc w:val="right"/>
              <w:rPr>
                <w:rFonts w:ascii="方正书宋_GBK" w:eastAsia="方正书宋_GBK"/>
              </w:rPr>
            </w:pPr>
            <w:r>
              <w:rPr>
                <w:rFonts w:ascii="方正书宋_GBK" w:eastAsia="方正书宋_GBK"/>
              </w:rPr>
              <w:t>60</w:t>
            </w:r>
            <w:r>
              <w:rPr>
                <w:rFonts w:hint="eastAsia" w:ascii="方正书宋_GBK" w:eastAsia="方正书宋_GBK"/>
              </w:rPr>
              <w:t>.00</w:t>
            </w:r>
          </w:p>
        </w:tc>
        <w:tc>
          <w:tcPr>
            <w:tcW w:w="1063" w:type="dxa"/>
            <w:shd w:val="clear" w:color="auto" w:fill="auto"/>
            <w:vAlign w:val="center"/>
          </w:tcPr>
          <w:p>
            <w:pPr>
              <w:spacing w:line="300" w:lineRule="exact"/>
              <w:jc w:val="right"/>
              <w:rPr>
                <w:rFonts w:ascii="方正书宋_GBK" w:eastAsia="方正书宋_GBK"/>
              </w:rPr>
            </w:pPr>
            <w:r>
              <w:rPr>
                <w:rFonts w:ascii="方正书宋_GBK" w:eastAsia="方正书宋_GBK"/>
              </w:rPr>
              <w:t>60</w:t>
            </w:r>
            <w:r>
              <w:rPr>
                <w:rFonts w:hint="eastAsia" w:ascii="方正书宋_GBK" w:eastAsia="方正书宋_GBK"/>
              </w:rPr>
              <w:t>.00</w:t>
            </w:r>
          </w:p>
        </w:tc>
        <w:tc>
          <w:tcPr>
            <w:tcW w:w="883" w:type="dxa"/>
            <w:shd w:val="clear" w:color="auto" w:fill="auto"/>
            <w:vAlign w:val="center"/>
          </w:tcPr>
          <w:p>
            <w:pPr>
              <w:spacing w:line="300" w:lineRule="exact"/>
              <w:jc w:val="right"/>
              <w:rPr>
                <w:rFonts w:ascii="方正书宋_GBK" w:eastAsia="方正书宋_GBK"/>
              </w:rPr>
            </w:pPr>
            <w:r>
              <w:rPr>
                <w:rFonts w:ascii="方正书宋_GBK" w:eastAsia="方正书宋_GBK"/>
              </w:rPr>
              <w:t>60</w:t>
            </w:r>
            <w:r>
              <w:rPr>
                <w:rFonts w:hint="eastAsia" w:ascii="方正书宋_GBK" w:eastAsia="方正书宋_GBK"/>
              </w:rPr>
              <w:t>.00</w:t>
            </w:r>
          </w:p>
        </w:tc>
        <w:tc>
          <w:tcPr>
            <w:tcW w:w="1006" w:type="dxa"/>
            <w:shd w:val="clear" w:color="auto" w:fill="auto"/>
            <w:vAlign w:val="center"/>
          </w:tcPr>
          <w:p>
            <w:pPr>
              <w:spacing w:line="300" w:lineRule="exact"/>
              <w:jc w:val="right"/>
              <w:rPr>
                <w:rFonts w:ascii="方正书宋_GBK" w:eastAsia="方正书宋_GBK"/>
              </w:rPr>
            </w:pP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城区公厕建设及提升改造工程资金</w:t>
            </w:r>
          </w:p>
        </w:tc>
        <w:tc>
          <w:tcPr>
            <w:tcW w:w="1008"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2000.00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其他建筑工程</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B99</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35.00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20.00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700.00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700.00</w:t>
            </w:r>
          </w:p>
        </w:tc>
        <w:tc>
          <w:tcPr>
            <w:tcW w:w="883" w:type="dxa"/>
            <w:shd w:val="clear" w:color="auto" w:fill="auto"/>
            <w:vAlign w:val="center"/>
          </w:tcPr>
          <w:p>
            <w:pPr>
              <w:spacing w:line="300" w:lineRule="exact"/>
              <w:jc w:val="right"/>
              <w:rPr>
                <w:rFonts w:ascii="方正书宋_GBK" w:eastAsia="方正书宋_GBK"/>
              </w:rPr>
            </w:pP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700.00</w:t>
            </w: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城区公厕建设及提升改造工程资金</w:t>
            </w:r>
          </w:p>
        </w:tc>
        <w:tc>
          <w:tcPr>
            <w:tcW w:w="1008"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2000.00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其他建筑工程</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B99</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25.00</w:t>
            </w: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52.00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1300.00</w:t>
            </w:r>
          </w:p>
        </w:tc>
        <w:tc>
          <w:tcPr>
            <w:tcW w:w="1063"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1300.00</w:t>
            </w:r>
          </w:p>
        </w:tc>
        <w:tc>
          <w:tcPr>
            <w:tcW w:w="883" w:type="dxa"/>
            <w:shd w:val="clear" w:color="auto" w:fill="auto"/>
            <w:vAlign w:val="center"/>
          </w:tcPr>
          <w:p>
            <w:pPr>
              <w:spacing w:line="300" w:lineRule="exact"/>
              <w:jc w:val="right"/>
              <w:rPr>
                <w:rFonts w:ascii="方正书宋_GBK" w:eastAsia="方正书宋_GBK"/>
              </w:rPr>
            </w:pPr>
          </w:p>
        </w:tc>
        <w:tc>
          <w:tcPr>
            <w:tcW w:w="1006" w:type="dxa"/>
            <w:shd w:val="clear" w:color="auto" w:fill="auto"/>
            <w:vAlign w:val="center"/>
          </w:tcPr>
          <w:p>
            <w:pPr>
              <w:spacing w:line="300" w:lineRule="exact"/>
              <w:jc w:val="right"/>
              <w:rPr>
                <w:rFonts w:ascii="方正书宋_GBK" w:eastAsia="方正书宋_GBK"/>
              </w:rPr>
            </w:pPr>
            <w:r>
              <w:rPr>
                <w:rFonts w:hint="eastAsia" w:ascii="方正书宋_GBK" w:eastAsia="方正书宋_GBK"/>
              </w:rPr>
              <w:t>1300.00</w:t>
            </w:r>
          </w:p>
        </w:tc>
        <w:tc>
          <w:tcPr>
            <w:tcW w:w="848" w:type="dxa"/>
            <w:shd w:val="clear" w:color="auto" w:fill="auto"/>
            <w:vAlign w:val="center"/>
          </w:tcPr>
          <w:p>
            <w:pPr>
              <w:spacing w:line="300" w:lineRule="exact"/>
              <w:jc w:val="right"/>
              <w:rPr>
                <w:rFonts w:ascii="方正书宋_GBK" w:eastAsia="方正书宋_GBK"/>
              </w:rPr>
            </w:pPr>
          </w:p>
        </w:tc>
        <w:tc>
          <w:tcPr>
            <w:tcW w:w="862" w:type="dxa"/>
            <w:shd w:val="clear" w:color="auto" w:fill="auto"/>
            <w:vAlign w:val="center"/>
          </w:tcPr>
          <w:p>
            <w:pPr>
              <w:spacing w:line="300" w:lineRule="exact"/>
              <w:jc w:val="right"/>
              <w:rPr>
                <w:rFonts w:ascii="方正书宋_GBK" w:eastAsia="方正书宋_GBK"/>
              </w:rPr>
            </w:pPr>
          </w:p>
        </w:tc>
        <w:tc>
          <w:tcPr>
            <w:tcW w:w="790" w:type="dxa"/>
            <w:shd w:val="clear" w:color="auto" w:fill="auto"/>
            <w:vAlign w:val="center"/>
          </w:tcPr>
          <w:p>
            <w:pPr>
              <w:spacing w:line="300" w:lineRule="exact"/>
              <w:jc w:val="righ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游园苗木补植及设施提升改造资金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其他建筑工程</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B99</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9.26及10.1期间,迎宾线、重要道路及节点摆花资金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400.00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其他货物</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A99</w:t>
            </w:r>
          </w:p>
        </w:tc>
        <w:tc>
          <w:tcPr>
            <w:tcW w:w="641"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批</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400.00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w:t>
            </w:r>
            <w:r>
              <w:rPr>
                <w:rFonts w:ascii="方正书宋_GBK" w:eastAsia="方正书宋_GBK"/>
              </w:rPr>
              <w:t>.00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400.00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400.00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400.00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园林绿化精细化管理设备及配套设施资金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650.00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其他货物</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A99</w:t>
            </w:r>
          </w:p>
        </w:tc>
        <w:tc>
          <w:tcPr>
            <w:tcW w:w="641"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个</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800.00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0.81</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w:t>
            </w:r>
            <w:r>
              <w:rPr>
                <w:rFonts w:ascii="方正书宋_GBK" w:eastAsia="方正书宋_GBK"/>
              </w:rPr>
              <w:t>4</w:t>
            </w:r>
            <w:r>
              <w:rPr>
                <w:rFonts w:hint="eastAsia" w:ascii="方正书宋_GBK" w:eastAsia="方正书宋_GBK"/>
              </w:rPr>
              <w:t>8.00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w:t>
            </w:r>
            <w:r>
              <w:rPr>
                <w:rFonts w:ascii="方正书宋_GBK" w:eastAsia="方正书宋_GBK"/>
              </w:rPr>
              <w:t>4</w:t>
            </w:r>
            <w:r>
              <w:rPr>
                <w:rFonts w:hint="eastAsia" w:ascii="方正书宋_GBK" w:eastAsia="方正书宋_GBK"/>
              </w:rPr>
              <w:t>8.00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w:t>
            </w:r>
            <w:r>
              <w:rPr>
                <w:rFonts w:ascii="方正书宋_GBK" w:eastAsia="方正书宋_GBK"/>
              </w:rPr>
              <w:t>4</w:t>
            </w:r>
            <w:r>
              <w:rPr>
                <w:rFonts w:hint="eastAsia" w:ascii="方正书宋_GBK" w:eastAsia="方正书宋_GBK"/>
              </w:rPr>
              <w:t>8.00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增植树木栽植及养护资金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5050.00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园林绿化管理服务</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C1303</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5050.00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5050.00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5050.00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5050.00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摆放城市绿雕及花卉资金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其他货物</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A99</w:t>
            </w:r>
          </w:p>
        </w:tc>
        <w:tc>
          <w:tcPr>
            <w:tcW w:w="641" w:type="dxa"/>
            <w:shd w:val="clear" w:color="auto" w:fill="auto"/>
          </w:tcPr>
          <w:p>
            <w:r>
              <w:rPr>
                <w:rFonts w:hint="eastAsia" w:ascii="方正书宋_GBK" w:eastAsia="方正书宋_GBK"/>
              </w:rPr>
              <w:t>批</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四季苗木补植基地建设及苗木采购资金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其他货物</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A99</w:t>
            </w:r>
          </w:p>
        </w:tc>
        <w:tc>
          <w:tcPr>
            <w:tcW w:w="641" w:type="dxa"/>
            <w:shd w:val="clear" w:color="auto" w:fill="auto"/>
          </w:tcPr>
          <w:p>
            <w:r>
              <w:rPr>
                <w:rFonts w:hint="eastAsia" w:ascii="方正书宋_GBK" w:eastAsia="方正书宋_GBK"/>
              </w:rPr>
              <w:t>批</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500.00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园林局新世纪步行街二、三、四大街管护经费</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80.00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物业管理服务</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C1204</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80.00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80.00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80.00</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80.00</w:t>
            </w:r>
          </w:p>
        </w:tc>
        <w:tc>
          <w:tcPr>
            <w:tcW w:w="1006" w:type="dxa"/>
            <w:shd w:val="clear" w:color="auto" w:fill="auto"/>
            <w:vAlign w:val="center"/>
          </w:tcPr>
          <w:p>
            <w:pPr>
              <w:spacing w:line="300" w:lineRule="exact"/>
              <w:jc w:val="left"/>
              <w:rPr>
                <w:rFonts w:ascii="方正书宋_GBK" w:eastAsia="方正书宋_GBK"/>
              </w:rPr>
            </w:pP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园林局移动临时围挡资金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其他货物</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A99</w:t>
            </w:r>
          </w:p>
        </w:tc>
        <w:tc>
          <w:tcPr>
            <w:tcW w:w="641" w:type="dxa"/>
            <w:shd w:val="clear" w:color="auto" w:fill="auto"/>
          </w:tcPr>
          <w:p>
            <w:pPr>
              <w:rPr>
                <w:rFonts w:ascii="方正书宋_GBK" w:eastAsia="方正书宋_GBK"/>
              </w:rPr>
            </w:pPr>
            <w:r>
              <w:rPr>
                <w:rFonts w:hint="eastAsia" w:ascii="方正书宋_GBK" w:eastAsia="方正书宋_GBK"/>
              </w:rPr>
              <w:t>批</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1006" w:type="dxa"/>
            <w:shd w:val="clear" w:color="auto" w:fill="auto"/>
            <w:vAlign w:val="center"/>
          </w:tcPr>
          <w:p>
            <w:pPr>
              <w:spacing w:line="300" w:lineRule="exact"/>
              <w:jc w:val="left"/>
              <w:rPr>
                <w:rFonts w:ascii="方正书宋_GBK" w:eastAsia="方正书宋_GBK"/>
              </w:rPr>
            </w:pP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办公设备购置经费</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35.00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通用设备</w:t>
            </w:r>
          </w:p>
        </w:tc>
        <w:tc>
          <w:tcPr>
            <w:tcW w:w="1349"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A02</w:t>
            </w:r>
          </w:p>
        </w:tc>
        <w:tc>
          <w:tcPr>
            <w:tcW w:w="641" w:type="dxa"/>
            <w:shd w:val="clear" w:color="auto" w:fill="auto"/>
          </w:tcPr>
          <w:p>
            <w:pPr>
              <w:rPr>
                <w:rFonts w:ascii="方正书宋_GBK" w:eastAsia="方正书宋_GBK"/>
              </w:rPr>
            </w:pPr>
            <w:r>
              <w:rPr>
                <w:rFonts w:hint="eastAsia" w:ascii="方正书宋_GBK" w:eastAsia="方正书宋_GBK"/>
              </w:rPr>
              <w:t>批</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35.00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35.00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35.00</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35.00</w:t>
            </w:r>
          </w:p>
        </w:tc>
        <w:tc>
          <w:tcPr>
            <w:tcW w:w="1006" w:type="dxa"/>
            <w:shd w:val="clear" w:color="auto" w:fill="auto"/>
            <w:vAlign w:val="center"/>
          </w:tcPr>
          <w:p>
            <w:pPr>
              <w:spacing w:line="300" w:lineRule="exact"/>
              <w:jc w:val="left"/>
              <w:rPr>
                <w:rFonts w:ascii="方正书宋_GBK" w:eastAsia="方正书宋_GBK"/>
              </w:rPr>
            </w:pP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园林局绿化小工具购置费</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其他货物</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A99</w:t>
            </w:r>
          </w:p>
        </w:tc>
        <w:tc>
          <w:tcPr>
            <w:tcW w:w="641" w:type="dxa"/>
            <w:shd w:val="clear" w:color="auto" w:fill="auto"/>
          </w:tcPr>
          <w:p>
            <w:pPr>
              <w:rPr>
                <w:rFonts w:ascii="方正书宋_GBK" w:eastAsia="方正书宋_GBK"/>
              </w:rPr>
            </w:pPr>
            <w:r>
              <w:rPr>
                <w:rFonts w:hint="eastAsia" w:ascii="方正书宋_GBK" w:eastAsia="方正书宋_GBK"/>
              </w:rPr>
              <w:t>批</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100.00</w:t>
            </w:r>
          </w:p>
        </w:tc>
        <w:tc>
          <w:tcPr>
            <w:tcW w:w="1006" w:type="dxa"/>
            <w:shd w:val="clear" w:color="auto" w:fill="auto"/>
            <w:vAlign w:val="center"/>
          </w:tcPr>
          <w:p>
            <w:pPr>
              <w:spacing w:line="300" w:lineRule="exact"/>
              <w:jc w:val="left"/>
              <w:rPr>
                <w:rFonts w:ascii="方正书宋_GBK" w:eastAsia="方正书宋_GBK"/>
              </w:rPr>
            </w:pP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园林局丹凤公园保洁费</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130.00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物业管理服务</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C1204</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113.00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113.00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113.00</w:t>
            </w: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113.00</w:t>
            </w:r>
          </w:p>
        </w:tc>
        <w:tc>
          <w:tcPr>
            <w:tcW w:w="1006" w:type="dxa"/>
            <w:shd w:val="clear" w:color="auto" w:fill="auto"/>
            <w:vAlign w:val="center"/>
          </w:tcPr>
          <w:p>
            <w:pPr>
              <w:spacing w:line="300" w:lineRule="exact"/>
              <w:jc w:val="left"/>
              <w:rPr>
                <w:rFonts w:ascii="方正书宋_GBK" w:eastAsia="方正书宋_GBK"/>
              </w:rPr>
            </w:pP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2324" w:type="dxa"/>
            <w:shd w:val="clear" w:color="auto" w:fill="auto"/>
          </w:tcPr>
          <w:p>
            <w:pPr>
              <w:spacing w:line="300" w:lineRule="exact"/>
              <w:jc w:val="left"/>
              <w:rPr>
                <w:rFonts w:ascii="方正书宋_GBK" w:eastAsia="方正书宋_GBK"/>
              </w:rPr>
            </w:pPr>
            <w:r>
              <w:rPr>
                <w:rFonts w:hint="eastAsia" w:ascii="方正书宋_GBK" w:eastAsia="方正书宋_GBK"/>
              </w:rPr>
              <w:t>永兴路南延（廊霸路--南环路）道路工程资金</w:t>
            </w:r>
          </w:p>
        </w:tc>
        <w:tc>
          <w:tcPr>
            <w:tcW w:w="1008"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150.00</w:t>
            </w:r>
          </w:p>
        </w:tc>
        <w:tc>
          <w:tcPr>
            <w:tcW w:w="842"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工程咨询管理服务</w:t>
            </w:r>
          </w:p>
        </w:tc>
        <w:tc>
          <w:tcPr>
            <w:tcW w:w="1349" w:type="dxa"/>
            <w:shd w:val="clear" w:color="auto" w:fill="auto"/>
            <w:vAlign w:val="center"/>
          </w:tcPr>
          <w:p>
            <w:pPr>
              <w:spacing w:line="300" w:lineRule="exact"/>
              <w:jc w:val="left"/>
              <w:rPr>
                <w:rFonts w:ascii="方正书宋_GBK" w:eastAsia="方正书宋_GBK"/>
              </w:rPr>
            </w:pPr>
            <w:r>
              <w:rPr>
                <w:rFonts w:ascii="方正书宋_GBK" w:eastAsia="方正书宋_GBK"/>
              </w:rPr>
              <w:t>C10</w:t>
            </w:r>
          </w:p>
        </w:tc>
        <w:tc>
          <w:tcPr>
            <w:tcW w:w="641" w:type="dxa"/>
            <w:shd w:val="clear" w:color="auto" w:fill="auto"/>
            <w:vAlign w:val="center"/>
          </w:tcPr>
          <w:p>
            <w:pPr>
              <w:spacing w:line="300" w:lineRule="exact"/>
              <w:jc w:val="left"/>
              <w:rPr>
                <w:rFonts w:ascii="方正书宋_GBK" w:eastAsia="方正书宋_GBK"/>
              </w:rPr>
            </w:pPr>
          </w:p>
        </w:tc>
        <w:tc>
          <w:tcPr>
            <w:tcW w:w="88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1.00</w:t>
            </w: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60.00</w:t>
            </w:r>
          </w:p>
        </w:tc>
        <w:tc>
          <w:tcPr>
            <w:tcW w:w="1063"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60.00</w:t>
            </w:r>
          </w:p>
        </w:tc>
        <w:tc>
          <w:tcPr>
            <w:tcW w:w="883" w:type="dxa"/>
            <w:shd w:val="clear" w:color="auto" w:fill="auto"/>
            <w:vAlign w:val="center"/>
          </w:tcPr>
          <w:p>
            <w:pPr>
              <w:spacing w:line="300" w:lineRule="exact"/>
              <w:jc w:val="left"/>
              <w:rPr>
                <w:rFonts w:ascii="方正书宋_GBK" w:eastAsia="方正书宋_GBK"/>
              </w:rPr>
            </w:pPr>
          </w:p>
        </w:tc>
        <w:tc>
          <w:tcPr>
            <w:tcW w:w="1006" w:type="dxa"/>
            <w:shd w:val="clear" w:color="auto" w:fill="auto"/>
            <w:vAlign w:val="center"/>
          </w:tcPr>
          <w:p>
            <w:pPr>
              <w:spacing w:line="300" w:lineRule="exact"/>
              <w:jc w:val="left"/>
              <w:rPr>
                <w:rFonts w:ascii="方正书宋_GBK" w:eastAsia="方正书宋_GBK"/>
              </w:rPr>
            </w:pPr>
            <w:r>
              <w:rPr>
                <w:rFonts w:hint="eastAsia" w:ascii="方正书宋_GBK" w:eastAsia="方正书宋_GBK"/>
              </w:rPr>
              <w:t>60.00</w:t>
            </w:r>
          </w:p>
        </w:tc>
        <w:tc>
          <w:tcPr>
            <w:tcW w:w="848" w:type="dxa"/>
            <w:shd w:val="clear" w:color="auto" w:fill="auto"/>
            <w:vAlign w:val="center"/>
          </w:tcPr>
          <w:p>
            <w:pPr>
              <w:spacing w:line="300" w:lineRule="exact"/>
              <w:jc w:val="left"/>
              <w:rPr>
                <w:rFonts w:ascii="方正书宋_GBK" w:eastAsia="方正书宋_GBK"/>
              </w:rPr>
            </w:pPr>
          </w:p>
        </w:tc>
        <w:tc>
          <w:tcPr>
            <w:tcW w:w="862" w:type="dxa"/>
            <w:shd w:val="clear" w:color="auto" w:fill="auto"/>
            <w:vAlign w:val="center"/>
          </w:tcPr>
          <w:p>
            <w:pPr>
              <w:spacing w:line="300" w:lineRule="exact"/>
              <w:jc w:val="left"/>
              <w:rPr>
                <w:rFonts w:ascii="方正书宋_GBK" w:eastAsia="方正书宋_GBK"/>
              </w:rPr>
            </w:pPr>
          </w:p>
        </w:tc>
        <w:tc>
          <w:tcPr>
            <w:tcW w:w="790" w:type="dxa"/>
            <w:shd w:val="clear" w:color="auto" w:fill="auto"/>
            <w:vAlign w:val="center"/>
          </w:tcPr>
          <w:p>
            <w:pPr>
              <w:spacing w:line="300" w:lineRule="exact"/>
              <w:jc w:val="left"/>
              <w:rPr>
                <w:rFonts w:ascii="方正书宋_GBK" w:eastAsia="方正书宋_GBK"/>
              </w:rPr>
            </w:pPr>
          </w:p>
        </w:tc>
      </w:tr>
    </w:tbl>
    <w:p>
      <w:pPr>
        <w:spacing w:line="300" w:lineRule="exact"/>
        <w:jc w:val="left"/>
        <w:outlineLvl w:val="0"/>
        <w:rPr>
          <w:rFonts w:ascii="仿宋_GB2312" w:eastAsia="仿宋_GB2312" w:cs="Times New Roman"/>
        </w:rPr>
        <w:sectPr>
          <w:pgSz w:w="16839" w:h="11907" w:orient="landscape"/>
          <w:pgMar w:top="1361" w:right="1020" w:bottom="1361" w:left="1020" w:header="851" w:footer="992" w:gutter="0"/>
          <w:cols w:space="720" w:num="1"/>
          <w:docGrid w:type="lines" w:linePitch="312" w:charSpace="0"/>
        </w:sectPr>
      </w:pPr>
    </w:p>
    <w:p>
      <w:pPr>
        <w:spacing w:line="560" w:lineRule="exact"/>
        <w:outlineLvl w:val="0"/>
        <w:rPr>
          <w:rFonts w:ascii="黑体" w:hAnsi="黑体" w:eastAsia="黑体" w:cs="Times New Roman"/>
          <w:sz w:val="32"/>
          <w:szCs w:val="32"/>
        </w:rPr>
      </w:pPr>
    </w:p>
    <w:p>
      <w:pPr>
        <w:autoSpaceDE w:val="0"/>
        <w:autoSpaceDN w:val="0"/>
        <w:adjustRightInd w:val="0"/>
        <w:spacing w:line="560" w:lineRule="exact"/>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七、国有资产信息</w:t>
      </w:r>
    </w:p>
    <w:p>
      <w:pPr>
        <w:spacing w:line="560" w:lineRule="exact"/>
        <w:ind w:firstLine="640"/>
        <w:rPr>
          <w:rFonts w:ascii="仿宋_GB2312" w:hAnsi="黑体" w:eastAsia="仿宋_GB2312" w:cs="Times New Roman"/>
          <w:sz w:val="32"/>
          <w:szCs w:val="32"/>
        </w:rPr>
      </w:pPr>
      <w:r>
        <w:rPr>
          <w:rFonts w:hint="eastAsia" w:ascii="仿宋_GB2312" w:hAnsi="黑体" w:eastAsia="仿宋_GB2312" w:cs="Times New Roman"/>
          <w:sz w:val="32"/>
          <w:szCs w:val="32"/>
        </w:rPr>
        <w:t>廊坊市建设局（含所属单位）上年末固定资产金额为</w:t>
      </w:r>
      <w:r>
        <w:rPr>
          <w:rFonts w:ascii="仿宋_GB2312" w:hAnsi="黑体" w:eastAsia="仿宋_GB2312" w:cs="Times New Roman"/>
          <w:sz w:val="32"/>
          <w:szCs w:val="32"/>
        </w:rPr>
        <w:t>35707.12</w:t>
      </w:r>
      <w:r>
        <w:rPr>
          <w:rFonts w:hint="eastAsia" w:ascii="仿宋_GB2312" w:hAnsi="黑体" w:eastAsia="仿宋_GB2312" w:cs="Times New Roman"/>
          <w:sz w:val="32"/>
          <w:szCs w:val="32"/>
        </w:rPr>
        <w:t>万元，本年度我部门拟购置固定资产主要为计算机设备、打印设备、空调、办公家具等，已列入政府采购预算。详见下表：</w:t>
      </w:r>
      <w:r>
        <w:rPr>
          <w:rFonts w:ascii="仿宋_GB2312" w:hAnsi="黑体" w:eastAsia="仿宋_GB2312" w:cs="Times New Roman"/>
          <w:sz w:val="32"/>
          <w:szCs w:val="32"/>
        </w:rPr>
        <w:t xml:space="preserve"> </w:t>
      </w:r>
    </w:p>
    <w:tbl>
      <w:tblPr>
        <w:tblStyle w:val="7"/>
        <w:tblW w:w="13482" w:type="dxa"/>
        <w:tblInd w:w="93" w:type="dxa"/>
        <w:tblLayout w:type="fixed"/>
        <w:tblCellMar>
          <w:top w:w="0" w:type="dxa"/>
          <w:left w:w="108" w:type="dxa"/>
          <w:bottom w:w="0" w:type="dxa"/>
          <w:right w:w="108" w:type="dxa"/>
        </w:tblCellMar>
      </w:tblPr>
      <w:tblGrid>
        <w:gridCol w:w="5224"/>
        <w:gridCol w:w="3155"/>
        <w:gridCol w:w="5103"/>
      </w:tblGrid>
      <w:tr>
        <w:tblPrEx>
          <w:tblLayout w:type="fixed"/>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vAlign w:val="center"/>
          </w:tcPr>
          <w:p>
            <w:pPr>
              <w:widowControl/>
              <w:spacing w:line="560" w:lineRule="exact"/>
              <w:rPr>
                <w:rFonts w:ascii="宋体" w:hAnsi="宋体" w:eastAsia="宋体" w:cs="宋体"/>
                <w:b/>
                <w:bCs/>
                <w:kern w:val="0"/>
                <w:sz w:val="32"/>
                <w:szCs w:val="32"/>
              </w:rPr>
            </w:pPr>
          </w:p>
          <w:p>
            <w:pPr>
              <w:widowControl/>
              <w:spacing w:line="56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廊坊市建设局固定资产占用情况表</w:t>
            </w:r>
          </w:p>
        </w:tc>
      </w:tr>
      <w:tr>
        <w:tblPrEx>
          <w:tblLayout w:type="fixed"/>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编制部门：廊坊市建设局</w:t>
            </w:r>
          </w:p>
        </w:tc>
        <w:tc>
          <w:tcPr>
            <w:tcW w:w="5103" w:type="dxa"/>
            <w:tcBorders>
              <w:top w:val="nil"/>
              <w:left w:val="nil"/>
              <w:bottom w:val="nil"/>
              <w:right w:val="nil"/>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截止时间：201</w:t>
            </w:r>
            <w:r>
              <w:rPr>
                <w:rFonts w:ascii="宋体" w:hAnsi="宋体" w:eastAsia="宋体" w:cs="宋体"/>
                <w:kern w:val="0"/>
                <w:sz w:val="22"/>
              </w:rPr>
              <w:t>7</w:t>
            </w:r>
            <w:r>
              <w:rPr>
                <w:rFonts w:hint="eastAsia" w:ascii="宋体" w:hAnsi="宋体" w:eastAsia="宋体" w:cs="宋体"/>
                <w:kern w:val="0"/>
                <w:sz w:val="22"/>
              </w:rPr>
              <w:t xml:space="preserve">年12月31日  </w:t>
            </w:r>
          </w:p>
        </w:tc>
      </w:tr>
      <w:tr>
        <w:tblPrEx>
          <w:tblLayout w:type="fixed"/>
          <w:tblCellMar>
            <w:top w:w="0" w:type="dxa"/>
            <w:left w:w="108" w:type="dxa"/>
            <w:bottom w:w="0" w:type="dxa"/>
            <w:right w:w="108" w:type="dxa"/>
          </w:tblCellMar>
        </w:tblPrEx>
        <w:trPr>
          <w:trHeight w:val="645" w:hRule="atLeast"/>
        </w:trPr>
        <w:tc>
          <w:tcPr>
            <w:tcW w:w="52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b/>
                <w:bCs/>
                <w:kern w:val="0"/>
                <w:sz w:val="22"/>
              </w:rPr>
            </w:pPr>
            <w:r>
              <w:rPr>
                <w:rFonts w:hint="eastAsia" w:ascii="宋体" w:hAnsi="宋体" w:eastAsia="宋体" w:cs="宋体"/>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b/>
                <w:bCs/>
                <w:kern w:val="0"/>
                <w:sz w:val="22"/>
              </w:rPr>
            </w:pPr>
            <w:r>
              <w:rPr>
                <w:rFonts w:hint="eastAsia" w:ascii="宋体" w:hAnsi="宋体" w:eastAsia="宋体" w:cs="宋体"/>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b/>
                <w:bCs/>
                <w:kern w:val="0"/>
                <w:sz w:val="22"/>
              </w:rPr>
            </w:pPr>
            <w:r>
              <w:rPr>
                <w:rFonts w:hint="eastAsia" w:ascii="宋体" w:hAnsi="宋体" w:eastAsia="宋体" w:cs="宋体"/>
                <w:b/>
                <w:bCs/>
                <w:kern w:val="0"/>
                <w:sz w:val="22"/>
              </w:rPr>
              <w:t>价值（金额单位：万元）</w:t>
            </w:r>
          </w:p>
        </w:tc>
      </w:tr>
      <w:tr>
        <w:tblPrEx>
          <w:tblLayout w:type="fixed"/>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hint="eastAsia" w:ascii="宋体" w:hAnsi="宋体" w:eastAsia="宋体" w:cs="宋体"/>
                <w:kern w:val="0"/>
                <w:sz w:val="22"/>
              </w:rPr>
              <w:t>资产总额</w:t>
            </w:r>
          </w:p>
        </w:tc>
        <w:tc>
          <w:tcPr>
            <w:tcW w:w="3155"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hint="eastAsia" w:ascii="宋体" w:hAnsi="宋体" w:eastAsia="宋体" w:cs="宋体"/>
                <w:kern w:val="0"/>
                <w:sz w:val="22"/>
              </w:rPr>
              <w:t>——</w:t>
            </w:r>
          </w:p>
        </w:tc>
        <w:tc>
          <w:tcPr>
            <w:tcW w:w="5103"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35707.12</w:t>
            </w:r>
          </w:p>
        </w:tc>
      </w:tr>
      <w:tr>
        <w:tblPrEx>
          <w:tblLayout w:type="fixed"/>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1、房屋（平方米）</w:t>
            </w:r>
          </w:p>
        </w:tc>
        <w:tc>
          <w:tcPr>
            <w:tcW w:w="3155"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34110.49</w:t>
            </w:r>
          </w:p>
        </w:tc>
        <w:tc>
          <w:tcPr>
            <w:tcW w:w="5103"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4101.66</w:t>
            </w:r>
          </w:p>
        </w:tc>
      </w:tr>
      <w:tr>
        <w:tblPrEx>
          <w:tblLayout w:type="fixed"/>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 xml:space="preserve">   其中：办公用房（平方米）</w:t>
            </w:r>
          </w:p>
        </w:tc>
        <w:tc>
          <w:tcPr>
            <w:tcW w:w="3155"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31228.77</w:t>
            </w:r>
          </w:p>
        </w:tc>
        <w:tc>
          <w:tcPr>
            <w:tcW w:w="5103"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3795.62</w:t>
            </w:r>
          </w:p>
        </w:tc>
      </w:tr>
      <w:tr>
        <w:tblPrEx>
          <w:tblLayout w:type="fixed"/>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2、车辆（台、辆）</w:t>
            </w:r>
          </w:p>
        </w:tc>
        <w:tc>
          <w:tcPr>
            <w:tcW w:w="3155"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796</w:t>
            </w:r>
          </w:p>
        </w:tc>
        <w:tc>
          <w:tcPr>
            <w:tcW w:w="5103"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26258.54</w:t>
            </w:r>
          </w:p>
        </w:tc>
      </w:tr>
      <w:tr>
        <w:tblPrEx>
          <w:tblLayout w:type="fixed"/>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3、单价在20万元以上的设备</w:t>
            </w:r>
          </w:p>
        </w:tc>
        <w:tc>
          <w:tcPr>
            <w:tcW w:w="3155"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hint="eastAsia" w:ascii="宋体" w:hAnsi="宋体" w:eastAsia="宋体" w:cs="宋体"/>
                <w:kern w:val="0"/>
                <w:sz w:val="22"/>
              </w:rPr>
              <w:t>0</w:t>
            </w:r>
          </w:p>
        </w:tc>
        <w:tc>
          <w:tcPr>
            <w:tcW w:w="5103"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645" w:hRule="atLeast"/>
        </w:trPr>
        <w:tc>
          <w:tcPr>
            <w:tcW w:w="5224" w:type="dxa"/>
            <w:tcBorders>
              <w:top w:val="nil"/>
              <w:left w:val="single" w:color="auto" w:sz="4" w:space="0"/>
              <w:bottom w:val="single" w:color="auto" w:sz="4" w:space="0"/>
              <w:right w:val="single" w:color="auto" w:sz="4" w:space="0"/>
            </w:tcBorders>
            <w:shd w:val="clear" w:color="auto" w:fill="auto"/>
            <w:vAlign w:val="center"/>
          </w:tcPr>
          <w:p>
            <w:pPr>
              <w:widowControl/>
              <w:spacing w:line="560" w:lineRule="exact"/>
              <w:jc w:val="left"/>
              <w:rPr>
                <w:rFonts w:ascii="宋体" w:hAnsi="宋体" w:eastAsia="宋体" w:cs="宋体"/>
                <w:kern w:val="0"/>
                <w:sz w:val="22"/>
              </w:rPr>
            </w:pPr>
            <w:r>
              <w:rPr>
                <w:rFonts w:hint="eastAsia" w:ascii="宋体" w:hAnsi="宋体" w:eastAsia="宋体" w:cs="宋体"/>
                <w:kern w:val="0"/>
                <w:sz w:val="22"/>
              </w:rPr>
              <w:t>4、其他固定资产</w:t>
            </w:r>
          </w:p>
        </w:tc>
        <w:tc>
          <w:tcPr>
            <w:tcW w:w="3155"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hint="eastAsia" w:ascii="宋体" w:hAnsi="宋体" w:eastAsia="宋体" w:cs="宋体"/>
                <w:kern w:val="0"/>
                <w:sz w:val="22"/>
              </w:rPr>
              <w:t>——</w:t>
            </w:r>
          </w:p>
        </w:tc>
        <w:tc>
          <w:tcPr>
            <w:tcW w:w="5103" w:type="dxa"/>
            <w:tcBorders>
              <w:top w:val="nil"/>
              <w:left w:val="nil"/>
              <w:bottom w:val="single" w:color="auto" w:sz="4" w:space="0"/>
              <w:right w:val="single" w:color="auto" w:sz="4" w:space="0"/>
            </w:tcBorders>
            <w:shd w:val="clear" w:color="auto" w:fill="auto"/>
            <w:vAlign w:val="center"/>
          </w:tcPr>
          <w:p>
            <w:pPr>
              <w:widowControl/>
              <w:spacing w:line="560" w:lineRule="exact"/>
              <w:jc w:val="center"/>
              <w:rPr>
                <w:rFonts w:ascii="宋体" w:hAnsi="宋体" w:eastAsia="宋体" w:cs="宋体"/>
                <w:kern w:val="0"/>
                <w:sz w:val="22"/>
              </w:rPr>
            </w:pPr>
            <w:r>
              <w:rPr>
                <w:rFonts w:ascii="宋体" w:hAnsi="宋体" w:eastAsia="宋体" w:cs="宋体"/>
                <w:kern w:val="0"/>
                <w:sz w:val="22"/>
              </w:rPr>
              <w:t>5346.92</w:t>
            </w:r>
          </w:p>
          <w:p>
            <w:pPr>
              <w:widowControl/>
              <w:spacing w:line="560" w:lineRule="exact"/>
              <w:jc w:val="center"/>
              <w:rPr>
                <w:rFonts w:ascii="宋体" w:hAnsi="宋体" w:eastAsia="宋体" w:cs="宋体"/>
                <w:kern w:val="0"/>
                <w:sz w:val="22"/>
              </w:rPr>
            </w:pPr>
          </w:p>
        </w:tc>
      </w:tr>
    </w:tbl>
    <w:p>
      <w:pPr>
        <w:tabs>
          <w:tab w:val="left" w:pos="11490"/>
        </w:tabs>
        <w:spacing w:line="560" w:lineRule="exact"/>
        <w:ind w:firstLine="960" w:firstLineChars="300"/>
        <w:rPr>
          <w:rFonts w:ascii="仿宋" w:hAnsi="仿宋" w:eastAsia="仿宋" w:cs="仿宋"/>
          <w:bCs/>
          <w:sz w:val="32"/>
          <w:szCs w:val="32"/>
        </w:rPr>
      </w:pPr>
    </w:p>
    <w:p>
      <w:pPr>
        <w:autoSpaceDE w:val="0"/>
        <w:autoSpaceDN w:val="0"/>
        <w:adjustRightInd w:val="0"/>
        <w:spacing w:line="560" w:lineRule="exact"/>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八、名词解释</w:t>
      </w:r>
    </w:p>
    <w:p>
      <w:pPr>
        <w:pStyle w:val="10"/>
        <w:rPr>
          <w:rFonts w:ascii="仿宋_GB2312" w:hAnsi="黑体" w:eastAsia="仿宋_GB2312"/>
          <w:color w:val="auto"/>
          <w:kern w:val="2"/>
          <w:sz w:val="32"/>
          <w:szCs w:val="32"/>
        </w:rPr>
      </w:pPr>
      <w:r>
        <w:rPr>
          <w:rFonts w:hint="eastAsia"/>
          <w:b/>
          <w:bCs/>
          <w:sz w:val="32"/>
          <w:szCs w:val="32"/>
        </w:rPr>
        <w:t xml:space="preserve">    </w:t>
      </w:r>
      <w:r>
        <w:rPr>
          <w:rFonts w:hint="eastAsia" w:ascii="仿宋_GB2312" w:hAnsi="黑体" w:eastAsia="仿宋_GB2312"/>
          <w:color w:val="auto"/>
          <w:kern w:val="2"/>
          <w:sz w:val="32"/>
          <w:szCs w:val="32"/>
        </w:rPr>
        <w:t>1、一般公共预算拨款收入：指市级财政当年拨付的资金。</w:t>
      </w:r>
    </w:p>
    <w:p>
      <w:pPr>
        <w:pStyle w:val="10"/>
        <w:rPr>
          <w:rFonts w:ascii="仿宋_GB2312" w:hAnsi="黑体" w:eastAsia="仿宋_GB2312"/>
          <w:color w:val="auto"/>
          <w:kern w:val="2"/>
          <w:sz w:val="32"/>
          <w:szCs w:val="32"/>
        </w:rPr>
      </w:pPr>
      <w:r>
        <w:rPr>
          <w:rFonts w:hint="eastAsia" w:ascii="仿宋_GB2312" w:hAnsi="黑体" w:eastAsia="仿宋_GB2312"/>
          <w:color w:val="auto"/>
          <w:kern w:val="2"/>
          <w:sz w:val="32"/>
          <w:szCs w:val="32"/>
        </w:rPr>
        <w:t xml:space="preserve">    2、事业收入：指事业单位开展专业业务活动及辅助活动所取得的收入。</w:t>
      </w:r>
    </w:p>
    <w:p>
      <w:pPr>
        <w:pStyle w:val="10"/>
        <w:rPr>
          <w:rFonts w:ascii="仿宋_GB2312" w:hAnsi="黑体" w:eastAsia="仿宋_GB2312"/>
          <w:color w:val="auto"/>
          <w:kern w:val="2"/>
          <w:sz w:val="32"/>
          <w:szCs w:val="32"/>
        </w:rPr>
      </w:pPr>
      <w:r>
        <w:rPr>
          <w:rFonts w:hint="eastAsia" w:ascii="仿宋_GB2312" w:hAnsi="黑体" w:eastAsia="仿宋_GB2312"/>
          <w:color w:val="auto"/>
          <w:kern w:val="2"/>
          <w:sz w:val="32"/>
          <w:szCs w:val="32"/>
        </w:rPr>
        <w:t xml:space="preserve">    3、其他收入：指除上述“财政拨款收入”、“事业收入”等以外的收入。主要是按规定动用的租房收入、存款利息收入等。</w:t>
      </w:r>
    </w:p>
    <w:p>
      <w:pPr>
        <w:pStyle w:val="10"/>
        <w:rPr>
          <w:rFonts w:ascii="仿宋_GB2312" w:hAnsi="黑体" w:eastAsia="仿宋_GB2312"/>
          <w:color w:val="auto"/>
          <w:kern w:val="2"/>
          <w:sz w:val="32"/>
          <w:szCs w:val="32"/>
        </w:rPr>
      </w:pPr>
      <w:r>
        <w:rPr>
          <w:rFonts w:hint="eastAsia" w:ascii="仿宋_GB2312" w:hAnsi="黑体" w:eastAsia="仿宋_GB2312"/>
          <w:color w:val="auto"/>
          <w:kern w:val="2"/>
          <w:sz w:val="32"/>
          <w:szCs w:val="32"/>
        </w:rPr>
        <w:t xml:space="preserve">    4、基本支出：指为保障机构正常运转、完成日常工作任务而发生的人员支出和公用支出。</w:t>
      </w:r>
    </w:p>
    <w:p>
      <w:pPr>
        <w:rPr>
          <w:rFonts w:ascii="仿宋_GB2312" w:hAnsi="黑体" w:eastAsia="仿宋_GB2312" w:cs="Times New Roman"/>
          <w:sz w:val="32"/>
          <w:szCs w:val="32"/>
        </w:rPr>
      </w:pPr>
      <w:r>
        <w:rPr>
          <w:rFonts w:hint="eastAsia" w:ascii="仿宋_GB2312" w:hAnsi="黑体" w:eastAsia="仿宋_GB2312" w:cs="Times New Roman"/>
          <w:sz w:val="32"/>
          <w:szCs w:val="32"/>
        </w:rPr>
        <w:t xml:space="preserve">    5、项目支出：指在基本支出之外为完成特定行政任务和事业发展目标所发生的支出。</w:t>
      </w:r>
    </w:p>
    <w:p>
      <w:pPr>
        <w:pStyle w:val="10"/>
        <w:rPr>
          <w:rFonts w:ascii="仿宋_GB2312" w:hAnsi="黑体" w:eastAsia="仿宋_GB2312"/>
          <w:color w:val="auto"/>
          <w:kern w:val="2"/>
          <w:sz w:val="32"/>
          <w:szCs w:val="32"/>
        </w:rPr>
      </w:pPr>
      <w:r>
        <w:rPr>
          <w:rFonts w:hint="eastAsia" w:ascii="仿宋_GB2312" w:hAnsi="黑体" w:eastAsia="仿宋_GB2312"/>
          <w:color w:val="auto"/>
          <w:kern w:val="2"/>
          <w:sz w:val="32"/>
          <w:szCs w:val="32"/>
        </w:rPr>
        <w:t xml:space="preserve">    6、上缴上级支出：指下级单位上缴上级的支出。</w:t>
      </w:r>
    </w:p>
    <w:p>
      <w:pPr>
        <w:pStyle w:val="10"/>
        <w:rPr>
          <w:rFonts w:ascii="仿宋_GB2312" w:hAnsi="黑体" w:eastAsia="仿宋_GB2312"/>
          <w:color w:val="auto"/>
          <w:kern w:val="2"/>
          <w:sz w:val="32"/>
          <w:szCs w:val="32"/>
        </w:rPr>
      </w:pPr>
      <w:r>
        <w:rPr>
          <w:rFonts w:hint="eastAsia" w:ascii="仿宋_GB2312" w:hAnsi="黑体" w:eastAsia="仿宋_GB2312"/>
          <w:color w:val="auto"/>
          <w:kern w:val="2"/>
          <w:sz w:val="32"/>
          <w:szCs w:val="32"/>
        </w:rPr>
        <w:t xml:space="preserve">    7、“三公”经费：纳入市级财政预算管理的“三公”经费，是指市级部门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rPr>
          <w:rFonts w:ascii="仿宋_GB2312" w:hAnsi="黑体" w:eastAsia="仿宋_GB2312" w:cs="Times New Roman"/>
          <w:sz w:val="32"/>
          <w:szCs w:val="32"/>
        </w:rPr>
      </w:pPr>
      <w:r>
        <w:rPr>
          <w:rFonts w:hint="eastAsia" w:ascii="仿宋_GB2312" w:hAnsi="黑体" w:eastAsia="仿宋_GB2312" w:cs="Times New Roman"/>
          <w:sz w:val="32"/>
          <w:szCs w:val="32"/>
        </w:rPr>
        <w:t xml:space="preserve">    8、机关运行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E w:val="0"/>
        <w:autoSpaceDN w:val="0"/>
        <w:adjustRightInd w:val="0"/>
        <w:spacing w:line="560" w:lineRule="exact"/>
        <w:ind w:left="198" w:firstLine="640" w:firstLineChars="200"/>
        <w:jc w:val="left"/>
        <w:rPr>
          <w:rFonts w:ascii="黑体" w:hAnsi="黑体" w:eastAsia="黑体" w:cs="Times New Roman"/>
          <w:sz w:val="32"/>
          <w:szCs w:val="32"/>
        </w:rPr>
      </w:pPr>
      <w:r>
        <w:rPr>
          <w:rFonts w:hint="eastAsia" w:ascii="黑体" w:hAnsi="黑体" w:eastAsia="黑体" w:cs="Times New Roman"/>
          <w:sz w:val="32"/>
          <w:szCs w:val="32"/>
        </w:rPr>
        <w:t>九、其他需要说明的事项</w:t>
      </w:r>
    </w:p>
    <w:p>
      <w:pPr>
        <w:tabs>
          <w:tab w:val="left" w:pos="11490"/>
        </w:tabs>
        <w:spacing w:line="560" w:lineRule="exact"/>
        <w:ind w:firstLine="960" w:firstLineChars="300"/>
        <w:rPr>
          <w:rFonts w:ascii="仿宋" w:hAnsi="仿宋" w:eastAsia="仿宋" w:cs="仿宋"/>
          <w:sz w:val="32"/>
          <w:szCs w:val="32"/>
        </w:rPr>
      </w:pPr>
      <w:r>
        <w:rPr>
          <w:rFonts w:hint="eastAsia" w:ascii="仿宋" w:hAnsi="仿宋" w:eastAsia="仿宋" w:cs="仿宋"/>
          <w:bCs/>
          <w:sz w:val="32"/>
          <w:szCs w:val="32"/>
        </w:rPr>
        <w:t>无其他需要说明的事项。</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文星简小标宋">
    <w:altName w:val="宋体"/>
    <w:panose1 w:val="0201060900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31F34"/>
    <w:rsid w:val="00037AF6"/>
    <w:rsid w:val="00045A61"/>
    <w:rsid w:val="00075D5F"/>
    <w:rsid w:val="000C3A19"/>
    <w:rsid w:val="000F09DF"/>
    <w:rsid w:val="001245BB"/>
    <w:rsid w:val="00147E79"/>
    <w:rsid w:val="0018479D"/>
    <w:rsid w:val="001E54F2"/>
    <w:rsid w:val="00241FD4"/>
    <w:rsid w:val="00251B12"/>
    <w:rsid w:val="002645FB"/>
    <w:rsid w:val="002860E7"/>
    <w:rsid w:val="00296113"/>
    <w:rsid w:val="002F3E58"/>
    <w:rsid w:val="00304512"/>
    <w:rsid w:val="0030542C"/>
    <w:rsid w:val="00311B7A"/>
    <w:rsid w:val="0035010C"/>
    <w:rsid w:val="003834A2"/>
    <w:rsid w:val="003B09A8"/>
    <w:rsid w:val="003E1A7F"/>
    <w:rsid w:val="003F0118"/>
    <w:rsid w:val="00451871"/>
    <w:rsid w:val="00472923"/>
    <w:rsid w:val="004E3066"/>
    <w:rsid w:val="004E74CD"/>
    <w:rsid w:val="004F2914"/>
    <w:rsid w:val="00573562"/>
    <w:rsid w:val="00613008"/>
    <w:rsid w:val="00614A29"/>
    <w:rsid w:val="00704682"/>
    <w:rsid w:val="0075393C"/>
    <w:rsid w:val="00776C08"/>
    <w:rsid w:val="007B2667"/>
    <w:rsid w:val="007B4EE0"/>
    <w:rsid w:val="007E1DA8"/>
    <w:rsid w:val="007F6C26"/>
    <w:rsid w:val="00812EDD"/>
    <w:rsid w:val="008334AE"/>
    <w:rsid w:val="00836FED"/>
    <w:rsid w:val="00845CD2"/>
    <w:rsid w:val="00846D24"/>
    <w:rsid w:val="008502D8"/>
    <w:rsid w:val="00852B0D"/>
    <w:rsid w:val="00881692"/>
    <w:rsid w:val="008B3CC5"/>
    <w:rsid w:val="008C2BAF"/>
    <w:rsid w:val="008D561B"/>
    <w:rsid w:val="008E4261"/>
    <w:rsid w:val="008F4662"/>
    <w:rsid w:val="00905D08"/>
    <w:rsid w:val="00925753"/>
    <w:rsid w:val="00966C5C"/>
    <w:rsid w:val="00973104"/>
    <w:rsid w:val="00A72D2E"/>
    <w:rsid w:val="00A911E7"/>
    <w:rsid w:val="00A939D9"/>
    <w:rsid w:val="00B00DA6"/>
    <w:rsid w:val="00B20712"/>
    <w:rsid w:val="00B43238"/>
    <w:rsid w:val="00B75216"/>
    <w:rsid w:val="00B91D52"/>
    <w:rsid w:val="00BA1ACD"/>
    <w:rsid w:val="00C02F40"/>
    <w:rsid w:val="00CA7176"/>
    <w:rsid w:val="00CB260B"/>
    <w:rsid w:val="00CD2773"/>
    <w:rsid w:val="00CE143B"/>
    <w:rsid w:val="00DD045B"/>
    <w:rsid w:val="00E12157"/>
    <w:rsid w:val="00E167C7"/>
    <w:rsid w:val="00E23C72"/>
    <w:rsid w:val="00EB53C4"/>
    <w:rsid w:val="00EC47F6"/>
    <w:rsid w:val="00EE1B43"/>
    <w:rsid w:val="00F153EF"/>
    <w:rsid w:val="00F66032"/>
    <w:rsid w:val="00F66186"/>
    <w:rsid w:val="00F958C2"/>
    <w:rsid w:val="033E4D17"/>
    <w:rsid w:val="041F255F"/>
    <w:rsid w:val="05145F1B"/>
    <w:rsid w:val="211F2274"/>
    <w:rsid w:val="43FE6DFC"/>
    <w:rsid w:val="452A21C1"/>
    <w:rsid w:val="50784948"/>
    <w:rsid w:val="6FDE1CE3"/>
    <w:rsid w:val="77062796"/>
    <w:rsid w:val="7C7006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4">
    <w:name w:val="toc 1"/>
    <w:basedOn w:val="1"/>
    <w:next w:val="1"/>
    <w:qFormat/>
    <w:uiPriority w:val="0"/>
    <w:rPr>
      <w:rFonts w:ascii="Times New Roman" w:hAnsi="Times New Roman" w:eastAsia="宋体" w:cs="Times New Roman"/>
      <w:szCs w:val="24"/>
    </w:rPr>
  </w:style>
  <w:style w:type="paragraph" w:styleId="5">
    <w:name w:val="toc 2"/>
    <w:basedOn w:val="1"/>
    <w:next w:val="1"/>
    <w:qFormat/>
    <w:uiPriority w:val="0"/>
    <w:pPr>
      <w:ind w:left="420" w:leftChars="200"/>
    </w:pPr>
    <w:rPr>
      <w:rFonts w:ascii="Times New Roman" w:hAnsi="Times New Roman" w:eastAsia="宋体" w:cs="Times New Roman"/>
      <w:szCs w:val="24"/>
    </w:rPr>
  </w:style>
  <w:style w:type="character" w:customStyle="1" w:styleId="8">
    <w:name w:val="页眉 Char"/>
    <w:basedOn w:val="6"/>
    <w:link w:val="3"/>
    <w:qFormat/>
    <w:uiPriority w:val="0"/>
    <w:rPr>
      <w:rFonts w:ascii="Times New Roman" w:hAnsi="Times New Roman" w:eastAsia="宋体" w:cs="Times New Roman"/>
      <w:sz w:val="18"/>
      <w:szCs w:val="18"/>
    </w:rPr>
  </w:style>
  <w:style w:type="character" w:customStyle="1" w:styleId="9">
    <w:name w:val="页脚 Char"/>
    <w:basedOn w:val="6"/>
    <w:link w:val="2"/>
    <w:qFormat/>
    <w:uiPriority w:val="0"/>
    <w:rPr>
      <w:rFonts w:ascii="Times New Roman" w:hAnsi="Times New Roman" w:eastAsia="宋体" w:cs="Times New Roman"/>
      <w:sz w:val="18"/>
      <w:szCs w:val="18"/>
    </w:rPr>
  </w:style>
  <w:style w:type="paragraph" w:customStyle="1" w:styleId="10">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445E7F-291E-4615-9A91-75FAC7343F8E}">
  <ds:schemaRefs/>
</ds:datastoreItem>
</file>

<file path=docProps/app.xml><?xml version="1.0" encoding="utf-8"?>
<Properties xmlns="http://schemas.openxmlformats.org/officeDocument/2006/extended-properties" xmlns:vt="http://schemas.openxmlformats.org/officeDocument/2006/docPropsVTypes">
  <Template>Normal</Template>
  <Pages>1</Pages>
  <Words>2337</Words>
  <Characters>13325</Characters>
  <Lines>111</Lines>
  <Paragraphs>31</Paragraphs>
  <TotalTime>163</TotalTime>
  <ScaleCrop>false</ScaleCrop>
  <LinksUpToDate>false</LinksUpToDate>
  <CharactersWithSpaces>15631</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2017-01-13T03:22:00Z</dcterms:created>
  <dc:creator>guest</dc:creator>
  <cp:lastModifiedBy>a</cp:lastModifiedBy>
  <dcterms:modified xsi:type="dcterms:W3CDTF">2018-03-10T03:44:50Z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